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9D" w:rsidRPr="0027069D" w:rsidRDefault="0027069D" w:rsidP="0027069D">
      <w:pPr>
        <w:widowControl/>
        <w:spacing w:before="100" w:beforeAutospacing="1" w:after="100" w:afterAutospacing="1" w:line="420" w:lineRule="atLeast"/>
        <w:jc w:val="center"/>
        <w:outlineLvl w:val="1"/>
        <w:rPr>
          <w:rFonts w:ascii="宋体" w:eastAsia="宋体" w:hAnsi="宋体" w:cs="Tahoma"/>
          <w:b/>
          <w:bCs/>
          <w:kern w:val="36"/>
          <w:sz w:val="30"/>
          <w:szCs w:val="30"/>
        </w:rPr>
      </w:pPr>
      <w:r w:rsidRPr="0027069D">
        <w:rPr>
          <w:rFonts w:ascii="宋体" w:eastAsia="宋体" w:hAnsi="宋体" w:cs="Tahoma" w:hint="eastAsia"/>
          <w:b/>
          <w:bCs/>
          <w:kern w:val="36"/>
          <w:sz w:val="30"/>
          <w:szCs w:val="30"/>
        </w:rPr>
        <w:t>西北农林科技大学 本科毕业论文（设计）管理工作规范（修订）</w:t>
      </w:r>
    </w:p>
    <w:p w:rsidR="0027069D" w:rsidRDefault="0027069D" w:rsidP="0027069D">
      <w:pPr>
        <w:pStyle w:val="a5"/>
        <w:spacing w:line="390" w:lineRule="atLeast"/>
        <w:jc w:val="center"/>
        <w:rPr>
          <w:rFonts w:cs="Tahoma"/>
          <w:sz w:val="21"/>
          <w:szCs w:val="21"/>
        </w:rPr>
      </w:pPr>
      <w:r>
        <w:rPr>
          <w:rFonts w:ascii="仿宋_gb2312" w:eastAsia="仿宋_gb2312" w:hAnsi="Calibri" w:cs="Calibri" w:hint="eastAsia"/>
          <w:sz w:val="36"/>
          <w:szCs w:val="36"/>
        </w:rPr>
        <w:t>校教发〔</w:t>
      </w:r>
      <w:r>
        <w:rPr>
          <w:rFonts w:ascii="Calibri" w:hAnsi="Calibri" w:cs="Calibri"/>
          <w:sz w:val="36"/>
          <w:szCs w:val="36"/>
        </w:rPr>
        <w:t>2006</w:t>
      </w:r>
      <w:r>
        <w:rPr>
          <w:rFonts w:ascii="仿宋_gb2312" w:eastAsia="仿宋_gb2312" w:hAnsi="Calibri" w:cs="Calibri" w:hint="eastAsia"/>
          <w:sz w:val="36"/>
          <w:szCs w:val="36"/>
        </w:rPr>
        <w:t>〕</w:t>
      </w:r>
      <w:r>
        <w:rPr>
          <w:rFonts w:ascii="Calibri" w:hAnsi="Calibri" w:cs="Calibri"/>
          <w:sz w:val="36"/>
          <w:szCs w:val="36"/>
        </w:rPr>
        <w:t xml:space="preserve">84 </w:t>
      </w:r>
      <w:r>
        <w:rPr>
          <w:rFonts w:ascii="仿宋_gb2312" w:eastAsia="仿宋_gb2312" w:hAnsi="Calibri" w:cs="Calibri" w:hint="eastAsia"/>
          <w:sz w:val="36"/>
          <w:szCs w:val="36"/>
        </w:rPr>
        <w:t>号</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第一章</w:t>
      </w:r>
      <w:r>
        <w:rPr>
          <w:rFonts w:ascii="Calibri" w:hAnsi="Calibri" w:cs="Calibri"/>
          <w:sz w:val="36"/>
          <w:szCs w:val="36"/>
        </w:rPr>
        <w:t xml:space="preserve">   </w:t>
      </w:r>
      <w:r>
        <w:rPr>
          <w:rFonts w:ascii="黑体" w:eastAsia="黑体" w:hAnsi="黑体" w:cs="Tahoma" w:hint="eastAsia"/>
          <w:sz w:val="36"/>
          <w:szCs w:val="36"/>
        </w:rPr>
        <w:t>总</w:t>
      </w:r>
      <w:r>
        <w:rPr>
          <w:rFonts w:cs="Tahoma" w:hint="eastAsia"/>
          <w:sz w:val="36"/>
          <w:szCs w:val="36"/>
        </w:rPr>
        <w:t> </w:t>
      </w:r>
      <w:r>
        <w:rPr>
          <w:rFonts w:ascii="黑体" w:eastAsia="黑体" w:hAnsi="黑体" w:cs="Tahoma" w:hint="eastAsia"/>
          <w:sz w:val="36"/>
          <w:szCs w:val="36"/>
        </w:rPr>
        <w:t>则</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第一条</w:t>
      </w:r>
      <w:r>
        <w:rPr>
          <w:rFonts w:cs="Tahoma" w:hint="eastAsia"/>
          <w:sz w:val="36"/>
          <w:szCs w:val="36"/>
        </w:rPr>
        <w:t xml:space="preserve">  </w:t>
      </w:r>
      <w:r>
        <w:rPr>
          <w:rFonts w:ascii="仿宋_gb2312" w:eastAsia="仿宋_gb2312" w:cs="Tahoma" w:hint="eastAsia"/>
          <w:sz w:val="36"/>
          <w:szCs w:val="36"/>
        </w:rPr>
        <w:t>毕业论文（设计）是实现人才培养目标的重要教学环节，是学生综合运用所学基础知识、基本理论和基本技能，学习科学研究或工程设计基本方法，进行科学研究基本训练，培养创新能力、实践能力和创业精神的重要实践环节，是实现教学、科学研究和生产实践相结合的重要途径。是学生毕业及学位资格认定的重要依据，本科各专业学生必须参加。</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第二条</w:t>
      </w:r>
      <w:r>
        <w:rPr>
          <w:rStyle w:val="a6"/>
          <w:rFonts w:cs="Tahoma" w:hint="eastAsia"/>
          <w:sz w:val="36"/>
          <w:szCs w:val="36"/>
        </w:rPr>
        <w:t xml:space="preserve">  </w:t>
      </w:r>
      <w:r>
        <w:rPr>
          <w:rFonts w:ascii="仿宋_gb2312" w:eastAsia="仿宋_gb2312" w:cs="Tahoma" w:hint="eastAsia"/>
          <w:sz w:val="36"/>
          <w:szCs w:val="36"/>
        </w:rPr>
        <w:t>为进一步规范本科毕业论文和毕业设计工作的管理，保证和提高毕业论文（设计）质量，根据教育部有关规定和本科专业人才培养目标要求，结合我校实际，特制定本规范。</w:t>
      </w:r>
      <w:r>
        <w:rPr>
          <w:rFonts w:cs="Tahoma" w:hint="eastAsia"/>
          <w:sz w:val="36"/>
          <w:szCs w:val="36"/>
        </w:rPr>
        <w:t> </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第二章</w:t>
      </w:r>
      <w:r>
        <w:rPr>
          <w:rFonts w:cs="Tahoma" w:hint="eastAsia"/>
          <w:sz w:val="36"/>
          <w:szCs w:val="36"/>
        </w:rPr>
        <w:t xml:space="preserve">  </w:t>
      </w:r>
      <w:r>
        <w:rPr>
          <w:rFonts w:ascii="黑体" w:eastAsia="黑体" w:hAnsi="黑体" w:cs="Tahoma" w:hint="eastAsia"/>
          <w:sz w:val="36"/>
          <w:szCs w:val="36"/>
        </w:rPr>
        <w:t>组织与管理</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第三条</w:t>
      </w:r>
      <w:r>
        <w:rPr>
          <w:rStyle w:val="a6"/>
          <w:rFonts w:cs="Tahoma" w:hint="eastAsia"/>
          <w:sz w:val="36"/>
          <w:szCs w:val="36"/>
        </w:rPr>
        <w:t xml:space="preserve">  </w:t>
      </w:r>
      <w:r>
        <w:rPr>
          <w:rFonts w:ascii="仿宋_gb2312" w:eastAsia="仿宋_gb2312" w:cs="Tahoma" w:hint="eastAsia"/>
          <w:sz w:val="36"/>
          <w:szCs w:val="36"/>
        </w:rPr>
        <w:t>毕业论文（设计）工作在学校教学委员会指导下。在主管校长统一领导下进行，实行教务处、院（系）分级管理、层层负责。</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lastRenderedPageBreak/>
        <w:t>第四条</w:t>
      </w:r>
      <w:r>
        <w:rPr>
          <w:rFonts w:cs="Tahoma" w:hint="eastAsia"/>
          <w:sz w:val="36"/>
          <w:szCs w:val="36"/>
        </w:rPr>
        <w:t xml:space="preserve">  </w:t>
      </w:r>
      <w:r>
        <w:rPr>
          <w:rFonts w:ascii="仿宋_gb2312" w:eastAsia="仿宋_gb2312" w:cs="Tahoma" w:hint="eastAsia"/>
          <w:sz w:val="36"/>
          <w:szCs w:val="36"/>
        </w:rPr>
        <w:t>教务处作为学校职能部门负责本科毕业论文（设计）的宏观管理工作，其主要职责是：</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、根据学校学科发展及其特点，制定毕业论文（设计）工作管理文件，明确学校的整体管理目标。</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、进行各院（系）毕业论文（设计）工作的宏观管理、指导和协调。</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、组织对毕业论文（设计）的选题、开题、中期检查、评阅答辩及评分等教学环节的质量监控和检查评估。</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、组织对毕业论文（设计）工作的考核、总结、经验交流和质量评估，为专业建设及教学改革提供参考信息。</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、受理学生对毕业论文（设计）成绩的异议及复查工作。</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第五条</w:t>
      </w:r>
      <w:r>
        <w:rPr>
          <w:rFonts w:cs="Tahoma" w:hint="eastAsia"/>
          <w:sz w:val="36"/>
          <w:szCs w:val="36"/>
        </w:rPr>
        <w:t xml:space="preserve">  </w:t>
      </w:r>
      <w:r>
        <w:rPr>
          <w:rFonts w:ascii="仿宋_gb2312" w:eastAsia="仿宋_gb2312" w:cs="Tahoma" w:hint="eastAsia"/>
          <w:sz w:val="36"/>
          <w:szCs w:val="36"/>
        </w:rPr>
        <w:t>学院（系）作为毕业论文（设计）工作的主要实施者，其主要职责是：</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、成立以主管教学院长（主任）为组长的毕业论文（设计）工作领导小组，具体负责毕业论文（设计）的实施。</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、向学生宣传并执行学校有关毕业论文（设计）工作的要求与规范。</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、遴选安排指导教师、审定和落实毕业论文（设计）题目。</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、检查、指导学生毕业论文（设计）工作。</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、成立毕业论文（设计）答辩小组，组织学院毕业论文（设计）答辩工作。</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6</w:t>
      </w:r>
      <w:r>
        <w:rPr>
          <w:rFonts w:ascii="仿宋_gb2312" w:eastAsia="仿宋_gb2312" w:hAnsi="Calibri" w:cs="Calibri" w:hint="eastAsia"/>
          <w:sz w:val="36"/>
          <w:szCs w:val="36"/>
        </w:rPr>
        <w:t>、做好毕业论文（设计）的工作总结、文档资料的整理与保存。</w:t>
      </w:r>
      <w:r>
        <w:rPr>
          <w:rFonts w:ascii="Calibri" w:hAnsi="Calibri" w:cs="Calibri"/>
          <w:sz w:val="36"/>
          <w:szCs w:val="36"/>
        </w:rPr>
        <w:t>  </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第三章</w:t>
      </w:r>
      <w:r>
        <w:rPr>
          <w:rFonts w:cs="Tahoma" w:hint="eastAsia"/>
          <w:sz w:val="36"/>
          <w:szCs w:val="36"/>
        </w:rPr>
        <w:t xml:space="preserve">  </w:t>
      </w:r>
      <w:r>
        <w:rPr>
          <w:rFonts w:ascii="黑体" w:eastAsia="黑体" w:hAnsi="黑体" w:cs="Tahoma" w:hint="eastAsia"/>
          <w:sz w:val="36"/>
          <w:szCs w:val="36"/>
        </w:rPr>
        <w:t>指导教师</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第六条</w:t>
      </w:r>
      <w:r>
        <w:rPr>
          <w:rFonts w:cs="Tahoma" w:hint="eastAsia"/>
          <w:sz w:val="36"/>
          <w:szCs w:val="36"/>
        </w:rPr>
        <w:t xml:space="preserve">  </w:t>
      </w:r>
      <w:r>
        <w:rPr>
          <w:rFonts w:ascii="仿宋_gb2312" w:eastAsia="仿宋_gb2312" w:cs="Tahoma" w:hint="eastAsia"/>
          <w:sz w:val="36"/>
          <w:szCs w:val="36"/>
        </w:rPr>
        <w:t>指导教师应由具有讲师及以上职称，具有科研工作背景和实践经验、责任心强的教师担任。助教不能单独指导毕业论文（设计），可协助指导。</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第七条</w:t>
      </w:r>
      <w:r>
        <w:rPr>
          <w:rFonts w:cs="Tahoma" w:hint="eastAsia"/>
          <w:sz w:val="36"/>
          <w:szCs w:val="36"/>
        </w:rPr>
        <w:t xml:space="preserve">  </w:t>
      </w:r>
      <w:r>
        <w:rPr>
          <w:rFonts w:ascii="仿宋_gb2312" w:eastAsia="仿宋_gb2312" w:cs="Tahoma" w:hint="eastAsia"/>
          <w:sz w:val="36"/>
          <w:szCs w:val="36"/>
        </w:rPr>
        <w:t>鼓励有科研力量的副高以上的专业技术人员指导毕业论文（设计）。为保证学生毕业论文（设计）质量，中级职称指导教师所指导的学生一般不超过</w:t>
      </w:r>
      <w:r>
        <w:rPr>
          <w:rFonts w:cs="Tahoma" w:hint="eastAsia"/>
          <w:sz w:val="36"/>
          <w:szCs w:val="36"/>
        </w:rPr>
        <w:t>6</w:t>
      </w:r>
      <w:r>
        <w:rPr>
          <w:rFonts w:ascii="仿宋_gb2312" w:eastAsia="仿宋_gb2312" w:cs="Tahoma" w:hint="eastAsia"/>
          <w:sz w:val="36"/>
          <w:szCs w:val="36"/>
        </w:rPr>
        <w:t>人，高级职称指导教师所指导的学生一般不超过</w:t>
      </w:r>
      <w:r>
        <w:rPr>
          <w:rFonts w:cs="Tahoma" w:hint="eastAsia"/>
          <w:sz w:val="36"/>
          <w:szCs w:val="36"/>
        </w:rPr>
        <w:t>8</w:t>
      </w:r>
      <w:r>
        <w:rPr>
          <w:rFonts w:ascii="仿宋_gb2312" w:eastAsia="仿宋_gb2312" w:cs="Tahoma" w:hint="eastAsia"/>
          <w:sz w:val="36"/>
          <w:szCs w:val="36"/>
        </w:rPr>
        <w:t>人。</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第八条</w:t>
      </w:r>
      <w:r>
        <w:rPr>
          <w:rFonts w:cs="Tahoma" w:hint="eastAsia"/>
          <w:sz w:val="36"/>
          <w:szCs w:val="36"/>
        </w:rPr>
        <w:t xml:space="preserve">  </w:t>
      </w:r>
      <w:r>
        <w:rPr>
          <w:rFonts w:ascii="仿宋_gb2312" w:eastAsia="仿宋_gb2312" w:cs="Tahoma" w:hint="eastAsia"/>
          <w:sz w:val="36"/>
          <w:szCs w:val="36"/>
        </w:rPr>
        <w:t>指导教师在选题、文献查阅、试验设计、观察记载、数据处理、结果分析、论文或设计说明书撰写等方面要对学生切实加以指导，以身作则，教书育人，努力培养学生严肃、严密、严谨和勇于创新的科学作风，其主要职责是：</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、指导教师要按照毕业论文（设计）的目的要求，结合本专业实际和科研项目，拟定论文题目和制定任务书。</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、根据毕业论文（设计）任务书的要求，制定指导计划和工作程序，指导学生设计技术路线和制定工作进程。</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、对学生提出的总体方案、计算方法、实验方案，所做的理论、实验分析的结论、译文、外文摘要等做必要的审查和指导。及时遏制学生的抄袭、拼凑行为。</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、定期（每周不少于一次）检查学生的工作进度和工作质量，解答和处理学生提出的有关问题，指导学生撰写毕业论文（设计）。</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、指导教师应对学生的论文质量</w:t>
      </w:r>
      <w:r>
        <w:rPr>
          <w:rFonts w:ascii="Calibri" w:hAnsi="Calibri" w:cs="Calibri"/>
          <w:sz w:val="36"/>
          <w:szCs w:val="36"/>
        </w:rPr>
        <w:t>(</w:t>
      </w:r>
      <w:r>
        <w:rPr>
          <w:rFonts w:ascii="仿宋_gb2312" w:eastAsia="仿宋_gb2312" w:hAnsi="Calibri" w:cs="Calibri" w:hint="eastAsia"/>
          <w:sz w:val="36"/>
          <w:szCs w:val="36"/>
        </w:rPr>
        <w:t>除学生自身的能力和水平外</w:t>
      </w:r>
      <w:r>
        <w:rPr>
          <w:rFonts w:ascii="Calibri" w:hAnsi="Calibri" w:cs="Calibri"/>
          <w:sz w:val="36"/>
          <w:szCs w:val="36"/>
        </w:rPr>
        <w:t>)</w:t>
      </w:r>
      <w:r>
        <w:rPr>
          <w:rFonts w:ascii="仿宋_gb2312" w:eastAsia="仿宋_gb2312" w:hAnsi="Calibri" w:cs="Calibri" w:hint="eastAsia"/>
          <w:sz w:val="36"/>
          <w:szCs w:val="36"/>
        </w:rPr>
        <w:t>承担相应的责任。毕业生的毕业论文（设计）两年内公开发表的，根据不同的刊物级别对指导教师进行</w:t>
      </w:r>
      <w:r>
        <w:rPr>
          <w:rFonts w:ascii="Calibri" w:hAnsi="Calibri" w:cs="Calibri"/>
          <w:sz w:val="36"/>
          <w:szCs w:val="36"/>
        </w:rPr>
        <w:t>100—500</w:t>
      </w:r>
      <w:r>
        <w:rPr>
          <w:rFonts w:ascii="仿宋_gb2312" w:eastAsia="仿宋_gb2312" w:hAnsi="Calibri" w:cs="Calibri" w:hint="eastAsia"/>
          <w:sz w:val="36"/>
          <w:szCs w:val="36"/>
        </w:rPr>
        <w:t>元的奖励，具体奖励办法另行制定，因教师不负责任构成教学事故的，按照《西北农林科技大学教学事故认定处理暂行办法》的有关规定进行处理。</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6</w:t>
      </w:r>
      <w:r>
        <w:rPr>
          <w:rFonts w:ascii="仿宋_gb2312" w:eastAsia="仿宋_gb2312" w:hAnsi="Calibri" w:cs="Calibri" w:hint="eastAsia"/>
          <w:sz w:val="36"/>
          <w:szCs w:val="36"/>
        </w:rPr>
        <w:t>、配合院（系）做好学生的思想政治工作，严格要求、严格管理，保证毕业论文（设计）工作的顺利进行。</w:t>
      </w:r>
      <w:r>
        <w:rPr>
          <w:rFonts w:ascii="Calibri" w:hAnsi="Calibri" w:cs="Calibri"/>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第九条</w:t>
      </w:r>
      <w:r>
        <w:rPr>
          <w:rFonts w:cs="Tahoma" w:hint="eastAsia"/>
          <w:sz w:val="36"/>
          <w:szCs w:val="36"/>
        </w:rPr>
        <w:t xml:space="preserve">  </w:t>
      </w:r>
      <w:r>
        <w:rPr>
          <w:rFonts w:ascii="仿宋_gb2312" w:eastAsia="仿宋_gb2312" w:cs="Tahoma" w:hint="eastAsia"/>
          <w:sz w:val="36"/>
          <w:szCs w:val="36"/>
        </w:rPr>
        <w:t>指导教师一经确定，不得随意更换。确因工作需要变更时，必须经毕业论文（设计）领导小组组长批准。</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第四章</w:t>
      </w:r>
      <w:r>
        <w:rPr>
          <w:rFonts w:cs="Tahoma" w:hint="eastAsia"/>
          <w:sz w:val="36"/>
          <w:szCs w:val="36"/>
        </w:rPr>
        <w:t xml:space="preserve">  </w:t>
      </w:r>
      <w:r>
        <w:rPr>
          <w:rFonts w:ascii="黑体" w:eastAsia="黑体" w:hAnsi="黑体" w:cs="Tahoma" w:hint="eastAsia"/>
          <w:sz w:val="36"/>
          <w:szCs w:val="36"/>
        </w:rPr>
        <w:t>学生</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第十条</w:t>
      </w:r>
      <w:r>
        <w:rPr>
          <w:rFonts w:cs="Tahoma" w:hint="eastAsia"/>
          <w:sz w:val="36"/>
          <w:szCs w:val="36"/>
        </w:rPr>
        <w:t xml:space="preserve">  </w:t>
      </w:r>
      <w:r>
        <w:rPr>
          <w:rFonts w:ascii="仿宋_gb2312" w:eastAsia="仿宋_gb2312" w:cs="Tahoma" w:hint="eastAsia"/>
          <w:sz w:val="36"/>
          <w:szCs w:val="36"/>
        </w:rPr>
        <w:t>对学生的要求：</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、应充分认识毕业论文（设计）对培养自己能力和素质的重要性，要以严肃认真的态度进行工作，要有高度的责任感和自觉性，力争高质量地完成毕业论文（设计）。</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、既要虚心接受导师的指导，又要充分发挥主观能动性。</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、结合课题，独立思考，努力钻研，勇于实践，敢于创新。</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、独立按时完成毕业论文（设计）任务。毕业论文字数不少于</w:t>
      </w:r>
      <w:r>
        <w:rPr>
          <w:rFonts w:ascii="Calibri" w:hAnsi="Calibri" w:cs="Calibri"/>
          <w:sz w:val="36"/>
          <w:szCs w:val="36"/>
        </w:rPr>
        <w:t>15000</w:t>
      </w:r>
      <w:r>
        <w:rPr>
          <w:rFonts w:ascii="仿宋_gb2312" w:eastAsia="仿宋_gb2312" w:hAnsi="Calibri" w:cs="Calibri" w:hint="eastAsia"/>
          <w:sz w:val="36"/>
          <w:szCs w:val="36"/>
        </w:rPr>
        <w:t>字，其中正文不少于</w:t>
      </w:r>
      <w:r>
        <w:rPr>
          <w:rFonts w:ascii="Calibri" w:hAnsi="Calibri" w:cs="Calibri"/>
          <w:sz w:val="36"/>
          <w:szCs w:val="36"/>
        </w:rPr>
        <w:t>12000</w:t>
      </w:r>
      <w:r>
        <w:rPr>
          <w:rFonts w:ascii="仿宋_gb2312" w:eastAsia="仿宋_gb2312" w:hAnsi="Calibri" w:cs="Calibri" w:hint="eastAsia"/>
          <w:sz w:val="36"/>
          <w:szCs w:val="36"/>
        </w:rPr>
        <w:t>字；毕业设计字数不少于</w:t>
      </w:r>
      <w:r>
        <w:rPr>
          <w:rFonts w:ascii="Calibri" w:hAnsi="Calibri" w:cs="Calibri"/>
          <w:sz w:val="36"/>
          <w:szCs w:val="36"/>
        </w:rPr>
        <w:t>10000</w:t>
      </w:r>
      <w:r>
        <w:rPr>
          <w:rFonts w:ascii="仿宋_gb2312" w:eastAsia="仿宋_gb2312" w:hAnsi="Calibri" w:cs="Calibri" w:hint="eastAsia"/>
          <w:sz w:val="36"/>
          <w:szCs w:val="36"/>
        </w:rPr>
        <w:t>字，其中设计说明书不少于</w:t>
      </w:r>
      <w:r>
        <w:rPr>
          <w:rFonts w:ascii="Calibri" w:hAnsi="Calibri" w:cs="Calibri"/>
          <w:sz w:val="36"/>
          <w:szCs w:val="36"/>
        </w:rPr>
        <w:t>8000</w:t>
      </w:r>
      <w:r>
        <w:rPr>
          <w:rFonts w:ascii="仿宋_gb2312" w:eastAsia="仿宋_gb2312" w:hAnsi="Calibri" w:cs="Calibri" w:hint="eastAsia"/>
          <w:sz w:val="36"/>
          <w:szCs w:val="36"/>
        </w:rPr>
        <w:t>字，并完成</w:t>
      </w:r>
      <w:r>
        <w:rPr>
          <w:rFonts w:ascii="Calibri" w:hAnsi="Calibri" w:cs="Calibri"/>
          <w:sz w:val="36"/>
          <w:szCs w:val="36"/>
        </w:rPr>
        <w:t>2~4</w:t>
      </w:r>
      <w:r>
        <w:rPr>
          <w:rFonts w:ascii="仿宋_gb2312" w:eastAsia="仿宋_gb2312" w:hAnsi="Calibri" w:cs="Calibri" w:hint="eastAsia"/>
          <w:sz w:val="36"/>
          <w:szCs w:val="36"/>
        </w:rPr>
        <w:t>幅设计图，其中必须有一幅不小于</w:t>
      </w:r>
      <w:r>
        <w:rPr>
          <w:rFonts w:ascii="Calibri" w:hAnsi="Calibri" w:cs="Calibri"/>
          <w:sz w:val="36"/>
          <w:szCs w:val="36"/>
        </w:rPr>
        <w:t>2#</w:t>
      </w:r>
      <w:r>
        <w:rPr>
          <w:rFonts w:ascii="仿宋_gb2312" w:eastAsia="仿宋_gb2312" w:hAnsi="Calibri" w:cs="Calibri" w:hint="eastAsia"/>
          <w:sz w:val="36"/>
          <w:szCs w:val="36"/>
        </w:rPr>
        <w:t>的手工图。查阅参考文献不少于</w:t>
      </w:r>
      <w:r>
        <w:rPr>
          <w:rFonts w:ascii="Calibri" w:hAnsi="Calibri" w:cs="Calibri"/>
          <w:sz w:val="36"/>
          <w:szCs w:val="36"/>
        </w:rPr>
        <w:t>20</w:t>
      </w:r>
      <w:r>
        <w:rPr>
          <w:rFonts w:ascii="仿宋_gb2312" w:eastAsia="仿宋_gb2312" w:hAnsi="Calibri" w:cs="Calibri" w:hint="eastAsia"/>
          <w:sz w:val="36"/>
          <w:szCs w:val="36"/>
        </w:rPr>
        <w:t>篇，并有一定数量的外文文献和翻译一篇不少于</w:t>
      </w:r>
      <w:r>
        <w:rPr>
          <w:rFonts w:ascii="Calibri" w:hAnsi="Calibri" w:cs="Calibri"/>
          <w:sz w:val="36"/>
          <w:szCs w:val="36"/>
        </w:rPr>
        <w:t>5000</w:t>
      </w:r>
      <w:r>
        <w:rPr>
          <w:rFonts w:ascii="仿宋_gb2312" w:eastAsia="仿宋_gb2312" w:hAnsi="Calibri" w:cs="Calibri" w:hint="eastAsia"/>
          <w:sz w:val="36"/>
          <w:szCs w:val="36"/>
        </w:rPr>
        <w:t>个印刷字符的外文文献。</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、不得弄虚作假，不得抄袭、剽窃他人的论著或成果。</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6</w:t>
      </w:r>
      <w:r>
        <w:rPr>
          <w:rFonts w:ascii="仿宋_gb2312" w:eastAsia="仿宋_gb2312" w:hAnsi="Calibri" w:cs="Calibri" w:hint="eastAsia"/>
          <w:sz w:val="36"/>
          <w:szCs w:val="36"/>
        </w:rPr>
        <w:t>、严格按照本科毕业论文（设计）要求和撰写规范要求撰写毕业论文（设计）。</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7</w:t>
      </w:r>
      <w:r>
        <w:rPr>
          <w:rFonts w:ascii="仿宋_gb2312" w:eastAsia="仿宋_gb2312" w:hAnsi="Calibri" w:cs="Calibri" w:hint="eastAsia"/>
          <w:sz w:val="36"/>
          <w:szCs w:val="36"/>
        </w:rPr>
        <w:t>、毕业论文（设计）期间要遵守学校及所在单位的劳动纪律和规章制度。</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8</w:t>
      </w:r>
      <w:r>
        <w:rPr>
          <w:rFonts w:ascii="仿宋_gb2312" w:eastAsia="仿宋_gb2312" w:hAnsi="Calibri" w:cs="Calibri" w:hint="eastAsia"/>
          <w:sz w:val="36"/>
          <w:szCs w:val="36"/>
        </w:rPr>
        <w:t>、答辩后，必须将所有资料交回学院（系）。其资料包括毕业论文（设计）、设计说明书、图纸、阶段资料、实验原始记录、软件文档等。</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第五章</w:t>
      </w:r>
      <w:r>
        <w:rPr>
          <w:rFonts w:cs="Tahoma" w:hint="eastAsia"/>
          <w:sz w:val="36"/>
          <w:szCs w:val="36"/>
        </w:rPr>
        <w:t xml:space="preserve">  </w:t>
      </w:r>
      <w:r>
        <w:rPr>
          <w:rFonts w:ascii="黑体" w:eastAsia="黑体" w:hAnsi="黑体" w:cs="Tahoma" w:hint="eastAsia"/>
          <w:sz w:val="36"/>
          <w:szCs w:val="36"/>
        </w:rPr>
        <w:t>选题</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第十一条</w:t>
      </w:r>
      <w:r>
        <w:rPr>
          <w:rStyle w:val="a6"/>
          <w:rFonts w:cs="Tahoma" w:hint="eastAsia"/>
          <w:sz w:val="36"/>
          <w:szCs w:val="36"/>
        </w:rPr>
        <w:t> </w:t>
      </w:r>
      <w:r>
        <w:rPr>
          <w:rFonts w:cs="Tahoma" w:hint="eastAsia"/>
          <w:sz w:val="36"/>
          <w:szCs w:val="36"/>
        </w:rPr>
        <w:t xml:space="preserve"> </w:t>
      </w:r>
      <w:r>
        <w:rPr>
          <w:rFonts w:ascii="仿宋_gb2312" w:eastAsia="仿宋_gb2312" w:cs="Tahoma" w:hint="eastAsia"/>
          <w:sz w:val="36"/>
          <w:szCs w:val="36"/>
        </w:rPr>
        <w:t>科学、恰当的选题是做好毕业论文（设计）的前提，应符合以下基本原则：</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、毕业论文（设计）的选题要体现社会发展需要，体现专业培养目标，体现学生运用基本理论、基本知识和基本技能，体现教学、科学研究与生产实践相结合的思想，要有一定的创新性。</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、选题难度、份量应适中，深度与广度兼顾，且工作量饱满，综合训练强，使学生经过努力能够在规定的时间内完成毕业论文（设计）任务；</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第十二条</w:t>
      </w:r>
      <w:r>
        <w:rPr>
          <w:rFonts w:cs="Tahoma" w:hint="eastAsia"/>
          <w:sz w:val="36"/>
          <w:szCs w:val="36"/>
        </w:rPr>
        <w:t xml:space="preserve">  </w:t>
      </w:r>
      <w:r>
        <w:rPr>
          <w:rFonts w:ascii="仿宋_gb2312" w:eastAsia="仿宋_gb2312" w:cs="Tahoma" w:hint="eastAsia"/>
          <w:sz w:val="36"/>
          <w:szCs w:val="36"/>
        </w:rPr>
        <w:t>毕业论文（设计）题目的确定程序</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、指导教师提出毕业论文（设计）的题目并填写立题审批表。</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、院（系）毕业论文（设计）工作领导小组对题目筛选审核后向学生公布，采取师生双向选择，院（系）适当调整方式，确定学生的毕业论文（设计）选题，并报教务处备案。</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学生自选题目须提前向所在学院（系）提出申请，并提交相应的说明（题目、已具备的条件及预期达到的目标要求等），经所在学院（系）毕业论文（设计）工作领导小组审定后方可执行。学院（系）根据学生的题目，指定指导教师。大学生科技创新基金项目可作为毕业论文（设计）的候选题目。</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4 </w:t>
      </w:r>
      <w:r>
        <w:rPr>
          <w:rFonts w:ascii="仿宋_gb2312" w:eastAsia="仿宋_gb2312" w:hAnsi="Calibri" w:cs="Calibri" w:hint="eastAsia"/>
          <w:sz w:val="36"/>
          <w:szCs w:val="36"/>
        </w:rPr>
        <w:t>、由指导教师指导学生写正式的毕业论文（设计）任务书。</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第十三条</w:t>
      </w:r>
      <w:r>
        <w:rPr>
          <w:rFonts w:cs="Tahoma" w:hint="eastAsia"/>
          <w:sz w:val="36"/>
          <w:szCs w:val="36"/>
        </w:rPr>
        <w:t xml:space="preserve">  </w:t>
      </w:r>
      <w:r>
        <w:rPr>
          <w:rFonts w:ascii="仿宋_gb2312" w:eastAsia="仿宋_gb2312" w:cs="Tahoma" w:hint="eastAsia"/>
          <w:sz w:val="36"/>
          <w:szCs w:val="36"/>
        </w:rPr>
        <w:t>毕业论文（设计）应在指导教师指导下由学生独立完成，原则上一生一题，当多个学生参加一个课题时，必须明确每个学生应独立完成的工作内容，并在论文题目上添加副标题。</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第十四条</w:t>
      </w:r>
      <w:r>
        <w:rPr>
          <w:rFonts w:cs="Tahoma" w:hint="eastAsia"/>
          <w:sz w:val="36"/>
          <w:szCs w:val="36"/>
        </w:rPr>
        <w:t xml:space="preserve">  </w:t>
      </w:r>
      <w:r>
        <w:rPr>
          <w:rFonts w:ascii="仿宋_gb2312" w:eastAsia="仿宋_gb2312" w:cs="Tahoma" w:hint="eastAsia"/>
          <w:sz w:val="36"/>
          <w:szCs w:val="36"/>
        </w:rPr>
        <w:t>社会科学类毕业论文选题要注重定性与定量分析相结合，注重实证分析；外语类学生不得以单纯的外语作品翻译或读书报告作为毕业论文，应使用所学语种撰写论文。</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第十五条</w:t>
      </w:r>
      <w:r>
        <w:rPr>
          <w:rFonts w:cs="Tahoma" w:hint="eastAsia"/>
          <w:sz w:val="36"/>
          <w:szCs w:val="36"/>
        </w:rPr>
        <w:t xml:space="preserve">  </w:t>
      </w:r>
      <w:r>
        <w:rPr>
          <w:rFonts w:ascii="仿宋_gb2312" w:eastAsia="仿宋_gb2312" w:cs="Tahoma" w:hint="eastAsia"/>
          <w:sz w:val="36"/>
          <w:szCs w:val="36"/>
        </w:rPr>
        <w:t>工科类毕业论文（设计）选题应以毕业设计为主，毕业设计应达到</w:t>
      </w:r>
      <w:r>
        <w:rPr>
          <w:rFonts w:cs="Tahoma" w:hint="eastAsia"/>
          <w:sz w:val="36"/>
          <w:szCs w:val="36"/>
        </w:rPr>
        <w:t>60%</w:t>
      </w:r>
      <w:r>
        <w:rPr>
          <w:rFonts w:ascii="仿宋_gb2312" w:eastAsia="仿宋_gb2312" w:cs="Tahoma" w:hint="eastAsia"/>
          <w:sz w:val="36"/>
          <w:szCs w:val="36"/>
        </w:rPr>
        <w:t>以上，设计应体现选题的实用性和推广应用价值。</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第十六条</w:t>
      </w:r>
      <w:r>
        <w:rPr>
          <w:rFonts w:cs="Tahoma" w:hint="eastAsia"/>
          <w:sz w:val="36"/>
          <w:szCs w:val="36"/>
        </w:rPr>
        <w:t xml:space="preserve">  </w:t>
      </w:r>
      <w:r>
        <w:rPr>
          <w:rFonts w:ascii="仿宋_gb2312" w:eastAsia="仿宋_gb2312" w:cs="Tahoma" w:hint="eastAsia"/>
          <w:sz w:val="36"/>
          <w:szCs w:val="36"/>
        </w:rPr>
        <w:t>农科、理科类毕业论文选题应以实验研究类题目为主，学生要独立完成一个完整的实验，取得客观、准确的实验数据，实验应具探索性。</w:t>
      </w:r>
      <w:r>
        <w:rPr>
          <w:rFonts w:cs="Tahoma" w:hint="eastAsia"/>
          <w:sz w:val="36"/>
          <w:szCs w:val="36"/>
        </w:rPr>
        <w:t> </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第六章</w:t>
      </w:r>
      <w:r>
        <w:rPr>
          <w:rFonts w:cs="Tahoma" w:hint="eastAsia"/>
          <w:sz w:val="36"/>
          <w:szCs w:val="36"/>
        </w:rPr>
        <w:t xml:space="preserve">  </w:t>
      </w:r>
      <w:r>
        <w:rPr>
          <w:rFonts w:ascii="黑体" w:eastAsia="黑体" w:hAnsi="黑体" w:cs="Tahoma" w:hint="eastAsia"/>
          <w:sz w:val="36"/>
          <w:szCs w:val="36"/>
        </w:rPr>
        <w:t>撰写</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第十七条</w:t>
      </w:r>
      <w:r>
        <w:rPr>
          <w:rFonts w:cs="Tahoma" w:hint="eastAsia"/>
          <w:sz w:val="36"/>
          <w:szCs w:val="36"/>
        </w:rPr>
        <w:t xml:space="preserve">  </w:t>
      </w:r>
      <w:r>
        <w:rPr>
          <w:rFonts w:ascii="仿宋_gb2312" w:eastAsia="仿宋_gb2312" w:cs="Tahoma" w:hint="eastAsia"/>
          <w:sz w:val="36"/>
          <w:szCs w:val="36"/>
        </w:rPr>
        <w:t>毕业论文（设计）应包括封面、目录、题目、中文摘要与关键词、英文题目、英文摘要与关键词、正文、参考文献、致谢和附录等部分。</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、目录独立成页，包括论文中全部章、节的标题及页码。</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、题目应该简短、明确、有概括性。论文题目不使用标点符号，中外文题名应一致。标题中尽量不用英文缩写词，必须采用时，应使用本行业通用缩写词。</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、摘要与关键词</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仿宋_gb2312" w:eastAsia="仿宋_gb2312" w:hAnsi="Calibri" w:cs="Calibri" w:hint="eastAsia"/>
          <w:sz w:val="36"/>
          <w:szCs w:val="36"/>
        </w:rPr>
        <w:t>（</w:t>
      </w:r>
      <w:r>
        <w:rPr>
          <w:rFonts w:ascii="Calibri" w:hAnsi="Calibri" w:cs="Calibri"/>
          <w:sz w:val="36"/>
          <w:szCs w:val="36"/>
        </w:rPr>
        <w:t>1</w:t>
      </w:r>
      <w:r>
        <w:rPr>
          <w:rFonts w:ascii="仿宋_gb2312" w:eastAsia="仿宋_gb2312" w:hAnsi="Calibri" w:cs="Calibri" w:hint="eastAsia"/>
          <w:sz w:val="36"/>
          <w:szCs w:val="36"/>
        </w:rPr>
        <w:t>）中文摘要一般为</w:t>
      </w:r>
      <w:r>
        <w:rPr>
          <w:rFonts w:ascii="Calibri" w:hAnsi="Calibri" w:cs="Calibri"/>
          <w:sz w:val="36"/>
          <w:szCs w:val="36"/>
        </w:rPr>
        <w:t>300</w:t>
      </w:r>
      <w:r>
        <w:rPr>
          <w:rFonts w:ascii="仿宋_gb2312" w:eastAsia="仿宋_gb2312" w:cs="Tahoma" w:hint="eastAsia"/>
          <w:sz w:val="36"/>
          <w:szCs w:val="36"/>
        </w:rPr>
        <w:t>字左右。</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仿宋_gb2312" w:eastAsia="仿宋_gb2312" w:hAnsi="Calibri" w:cs="Calibri" w:hint="eastAsia"/>
          <w:sz w:val="36"/>
          <w:szCs w:val="36"/>
        </w:rPr>
        <w:t>（</w:t>
      </w:r>
      <w:r>
        <w:rPr>
          <w:rFonts w:ascii="Calibri" w:hAnsi="Calibri" w:cs="Calibri"/>
          <w:sz w:val="36"/>
          <w:szCs w:val="36"/>
        </w:rPr>
        <w:t>2</w:t>
      </w:r>
      <w:r>
        <w:rPr>
          <w:rFonts w:ascii="仿宋_gb2312" w:eastAsia="仿宋_gb2312" w:hAnsi="Calibri" w:cs="Calibri" w:hint="eastAsia"/>
          <w:sz w:val="36"/>
          <w:szCs w:val="36"/>
        </w:rPr>
        <w:t>）关键词一般列</w:t>
      </w:r>
      <w:r>
        <w:rPr>
          <w:rFonts w:ascii="Calibri" w:hAnsi="Calibri" w:cs="Calibri"/>
          <w:sz w:val="36"/>
          <w:szCs w:val="36"/>
        </w:rPr>
        <w:t>3</w:t>
      </w:r>
      <w:r>
        <w:rPr>
          <w:rFonts w:ascii="仿宋_gb2312" w:eastAsia="仿宋_gb2312" w:hAnsi="Calibri" w:cs="Calibri" w:hint="eastAsia"/>
          <w:sz w:val="36"/>
          <w:szCs w:val="36"/>
        </w:rPr>
        <w:t>～</w:t>
      </w:r>
      <w:r>
        <w:rPr>
          <w:rFonts w:ascii="Calibri" w:hAnsi="Calibri" w:cs="Calibri"/>
          <w:sz w:val="36"/>
          <w:szCs w:val="36"/>
        </w:rPr>
        <w:t>5</w:t>
      </w:r>
      <w:r>
        <w:rPr>
          <w:rFonts w:ascii="仿宋_gb2312" w:eastAsia="仿宋_gb2312" w:hAnsi="Calibri" w:cs="Calibri" w:hint="eastAsia"/>
          <w:sz w:val="36"/>
          <w:szCs w:val="36"/>
        </w:rPr>
        <w:t>个，并按词条的外延层次从大到小排列。中英文关键词应一一对应。</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、论文正文包括综述、论文主体及结论等部分。</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、参考文献反映论文的取材来源、材料的广博程度。</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6</w:t>
      </w:r>
      <w:r>
        <w:rPr>
          <w:rFonts w:ascii="仿宋_gb2312" w:eastAsia="仿宋_gb2312" w:hAnsi="Calibri" w:cs="Calibri" w:hint="eastAsia"/>
          <w:sz w:val="36"/>
          <w:szCs w:val="36"/>
        </w:rPr>
        <w:t>、致谢是向给予指导、合作、支持及协助完成研究工作的单位、组织或个人致谢，内容应简洁明了、实事求是，避免俗套。</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7</w:t>
      </w:r>
      <w:r>
        <w:rPr>
          <w:rFonts w:ascii="仿宋_gb2312" w:eastAsia="仿宋_gb2312" w:hAnsi="Calibri" w:cs="Calibri" w:hint="eastAsia"/>
          <w:sz w:val="36"/>
          <w:szCs w:val="36"/>
        </w:rPr>
        <w:t>、附录是指不宜放在正文中但有重要参考价值的内容（如公式的推导、程序流程图、图纸、数据表格等）。</w:t>
      </w:r>
      <w:r>
        <w:rPr>
          <w:rFonts w:ascii="Calibri" w:hAnsi="Calibri" w:cs="Calibri"/>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第十八条</w:t>
      </w:r>
      <w:r>
        <w:rPr>
          <w:rFonts w:cs="Tahoma" w:hint="eastAsia"/>
          <w:sz w:val="36"/>
          <w:szCs w:val="36"/>
        </w:rPr>
        <w:t xml:space="preserve">  </w:t>
      </w:r>
      <w:r>
        <w:rPr>
          <w:rFonts w:ascii="仿宋_gb2312" w:eastAsia="仿宋_gb2312" w:cs="Tahoma" w:hint="eastAsia"/>
          <w:sz w:val="36"/>
          <w:szCs w:val="36"/>
        </w:rPr>
        <w:t>书写及打印要求</w:t>
      </w:r>
      <w:r>
        <w:rPr>
          <w:rFonts w:cs="Tahoma" w:hint="eastAsia"/>
          <w:sz w:val="36"/>
          <w:szCs w:val="36"/>
        </w:rPr>
        <w:t> </w:t>
      </w:r>
      <w:r>
        <w:rPr>
          <w:rFonts w:ascii="仿宋_gb2312" w:eastAsia="仿宋_gb2312" w:cs="Tahoma" w:hint="eastAsia"/>
          <w:sz w:val="36"/>
          <w:szCs w:val="36"/>
        </w:rPr>
        <w:t>按照《西北农林科技大学学报》格式要求进行书写及打印。</w:t>
      </w:r>
      <w:r>
        <w:rPr>
          <w:rFonts w:cs="Tahoma" w:hint="eastAsia"/>
          <w:sz w:val="36"/>
          <w:szCs w:val="36"/>
        </w:rPr>
        <w:t> </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第七章</w:t>
      </w:r>
      <w:r>
        <w:rPr>
          <w:rFonts w:cs="Tahoma" w:hint="eastAsia"/>
          <w:sz w:val="36"/>
          <w:szCs w:val="36"/>
        </w:rPr>
        <w:t xml:space="preserve">  </w:t>
      </w:r>
      <w:r>
        <w:rPr>
          <w:rFonts w:ascii="黑体" w:eastAsia="黑体" w:hAnsi="黑体" w:cs="Tahoma" w:hint="eastAsia"/>
          <w:sz w:val="36"/>
          <w:szCs w:val="36"/>
        </w:rPr>
        <w:t>答辩及评分</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第十九条</w:t>
      </w:r>
      <w:r>
        <w:rPr>
          <w:rFonts w:cs="Tahoma" w:hint="eastAsia"/>
          <w:sz w:val="36"/>
          <w:szCs w:val="36"/>
        </w:rPr>
        <w:t xml:space="preserve">  </w:t>
      </w:r>
      <w:r>
        <w:rPr>
          <w:rFonts w:ascii="仿宋_gb2312" w:eastAsia="仿宋_gb2312" w:cs="Tahoma" w:hint="eastAsia"/>
          <w:sz w:val="36"/>
          <w:szCs w:val="36"/>
        </w:rPr>
        <w:t>学院（系）根据本学院（系）专业的实际情况，组成若干个毕业论文（设计）答辩小组，具体负责本专业毕业论文（设计）的答辩和成绩评定工作。</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第二十条</w:t>
      </w:r>
      <w:r>
        <w:rPr>
          <w:rFonts w:cs="Tahoma" w:hint="eastAsia"/>
          <w:sz w:val="36"/>
          <w:szCs w:val="36"/>
        </w:rPr>
        <w:t xml:space="preserve">  </w:t>
      </w:r>
      <w:r>
        <w:rPr>
          <w:rFonts w:ascii="仿宋_gb2312" w:eastAsia="仿宋_gb2312" w:cs="Tahoma" w:hint="eastAsia"/>
          <w:sz w:val="36"/>
          <w:szCs w:val="36"/>
        </w:rPr>
        <w:t>毕业论文</w:t>
      </w:r>
      <w:r>
        <w:rPr>
          <w:rFonts w:cs="Tahoma" w:hint="eastAsia"/>
          <w:sz w:val="36"/>
          <w:szCs w:val="36"/>
        </w:rPr>
        <w:t> </w:t>
      </w:r>
      <w:r>
        <w:rPr>
          <w:rFonts w:ascii="仿宋_gb2312" w:eastAsia="仿宋_gb2312" w:cs="Tahoma" w:hint="eastAsia"/>
          <w:sz w:val="36"/>
          <w:szCs w:val="36"/>
        </w:rPr>
        <w:t>（设计）答辩小组一般由</w:t>
      </w:r>
      <w:r>
        <w:rPr>
          <w:rFonts w:cs="Tahoma" w:hint="eastAsia"/>
          <w:sz w:val="36"/>
          <w:szCs w:val="36"/>
        </w:rPr>
        <w:t>5—7</w:t>
      </w:r>
      <w:r>
        <w:rPr>
          <w:rFonts w:ascii="仿宋_gb2312" w:eastAsia="仿宋_gb2312" w:cs="Tahoma" w:hint="eastAsia"/>
          <w:sz w:val="36"/>
          <w:szCs w:val="36"/>
        </w:rPr>
        <w:t>人</w:t>
      </w:r>
      <w:r>
        <w:rPr>
          <w:rFonts w:cs="Tahoma" w:hint="eastAsia"/>
          <w:sz w:val="36"/>
          <w:szCs w:val="36"/>
        </w:rPr>
        <w:t>(</w:t>
      </w:r>
      <w:r>
        <w:rPr>
          <w:rFonts w:ascii="仿宋_gb2312" w:eastAsia="仿宋_gb2312" w:cs="Tahoma" w:hint="eastAsia"/>
          <w:sz w:val="36"/>
          <w:szCs w:val="36"/>
        </w:rPr>
        <w:t>其中副高职称以上成员不少于</w:t>
      </w:r>
      <w:r>
        <w:rPr>
          <w:rFonts w:cs="Tahoma" w:hint="eastAsia"/>
          <w:sz w:val="36"/>
          <w:szCs w:val="36"/>
        </w:rPr>
        <w:t>3</w:t>
      </w:r>
      <w:r>
        <w:rPr>
          <w:rFonts w:ascii="仿宋_gb2312" w:eastAsia="仿宋_gb2312" w:cs="Tahoma" w:hint="eastAsia"/>
          <w:sz w:val="36"/>
          <w:szCs w:val="36"/>
        </w:rPr>
        <w:t>人</w:t>
      </w:r>
      <w:r>
        <w:rPr>
          <w:rFonts w:cs="Tahoma" w:hint="eastAsia"/>
          <w:sz w:val="36"/>
          <w:szCs w:val="36"/>
        </w:rPr>
        <w:t>)</w:t>
      </w:r>
      <w:r>
        <w:rPr>
          <w:rFonts w:ascii="仿宋_gb2312" w:eastAsia="仿宋_gb2312" w:cs="Tahoma" w:hint="eastAsia"/>
          <w:sz w:val="36"/>
          <w:szCs w:val="36"/>
        </w:rPr>
        <w:t>组成，设组长</w:t>
      </w:r>
      <w:r>
        <w:rPr>
          <w:rFonts w:cs="Tahoma" w:hint="eastAsia"/>
          <w:sz w:val="36"/>
          <w:szCs w:val="36"/>
        </w:rPr>
        <w:t>1</w:t>
      </w:r>
      <w:r>
        <w:rPr>
          <w:rFonts w:ascii="仿宋_gb2312" w:eastAsia="仿宋_gb2312" w:cs="Tahoma" w:hint="eastAsia"/>
          <w:sz w:val="36"/>
          <w:szCs w:val="36"/>
        </w:rPr>
        <w:t>人，秘书</w:t>
      </w:r>
      <w:r>
        <w:rPr>
          <w:rFonts w:cs="Tahoma" w:hint="eastAsia"/>
          <w:sz w:val="36"/>
          <w:szCs w:val="36"/>
        </w:rPr>
        <w:t>1</w:t>
      </w:r>
      <w:r>
        <w:rPr>
          <w:rFonts w:ascii="仿宋_gb2312" w:eastAsia="仿宋_gb2312" w:cs="Tahoma" w:hint="eastAsia"/>
          <w:sz w:val="36"/>
          <w:szCs w:val="36"/>
        </w:rPr>
        <w:t>人。</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第二十一条</w:t>
      </w:r>
      <w:r>
        <w:rPr>
          <w:rFonts w:cs="Tahoma" w:hint="eastAsia"/>
          <w:sz w:val="36"/>
          <w:szCs w:val="36"/>
        </w:rPr>
        <w:t xml:space="preserve">  </w:t>
      </w:r>
      <w:r>
        <w:rPr>
          <w:rFonts w:ascii="仿宋_gb2312" w:eastAsia="仿宋_gb2312" w:cs="Tahoma" w:hint="eastAsia"/>
          <w:sz w:val="36"/>
          <w:szCs w:val="36"/>
        </w:rPr>
        <w:t>学院（系）在答辩前一天公布各答辩小组成员名单和参加答辩学生名单。</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第二十二条</w:t>
      </w:r>
      <w:r>
        <w:rPr>
          <w:rFonts w:cs="Tahoma" w:hint="eastAsia"/>
          <w:sz w:val="36"/>
          <w:szCs w:val="36"/>
        </w:rPr>
        <w:t xml:space="preserve">  </w:t>
      </w:r>
      <w:r>
        <w:rPr>
          <w:rFonts w:ascii="仿宋_gb2312" w:eastAsia="仿宋_gb2312" w:cs="Tahoma" w:hint="eastAsia"/>
          <w:sz w:val="36"/>
          <w:szCs w:val="36"/>
        </w:rPr>
        <w:t>答辩小组组长严格按照时间安排主持答辩并组织答辩成员打分和写评语。</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第二十三条</w:t>
      </w:r>
      <w:r>
        <w:rPr>
          <w:rFonts w:cs="Tahoma" w:hint="eastAsia"/>
          <w:sz w:val="36"/>
          <w:szCs w:val="36"/>
        </w:rPr>
        <w:t xml:space="preserve">   </w:t>
      </w:r>
      <w:r>
        <w:rPr>
          <w:rFonts w:ascii="仿宋_gb2312" w:eastAsia="仿宋_gb2312" w:cs="Tahoma" w:hint="eastAsia"/>
          <w:sz w:val="36"/>
          <w:szCs w:val="36"/>
        </w:rPr>
        <w:t>答辩小组答辩前应根据指导教师和评阅人的意见审查学生的答辩资格和论文（设计）形式，当指导教师与评阅人意见不一致时，提交毕业论文（设计）工作领导小组组织评阅，根据评阅意见决定是否同意答辩。答辩小组不同意答辩的学生，须向院（系）申请重修并参加下一年度答辩，通过后方能毕业。</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第二十四条</w:t>
      </w:r>
      <w:r>
        <w:rPr>
          <w:rFonts w:cs="Tahoma" w:hint="eastAsia"/>
          <w:sz w:val="36"/>
          <w:szCs w:val="36"/>
        </w:rPr>
        <w:t xml:space="preserve">   </w:t>
      </w:r>
      <w:r>
        <w:rPr>
          <w:rFonts w:ascii="仿宋_gb2312" w:eastAsia="仿宋_gb2312" w:cs="Tahoma" w:hint="eastAsia"/>
          <w:sz w:val="36"/>
          <w:szCs w:val="36"/>
        </w:rPr>
        <w:t>答辩前，答辩小组成员应详细审阅每位学生毕业论文（设计）报告，为答辩提问作好准备。答辩中，学生必须报告自己毕业论文（设计）的主要内容，并回答答辩小组成员的提问。</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第二十五条</w:t>
      </w:r>
      <w:r>
        <w:rPr>
          <w:rStyle w:val="a6"/>
          <w:rFonts w:cs="Tahoma" w:hint="eastAsia"/>
          <w:sz w:val="36"/>
          <w:szCs w:val="36"/>
        </w:rPr>
        <w:t> </w:t>
      </w:r>
      <w:r>
        <w:rPr>
          <w:rFonts w:cs="Tahoma" w:hint="eastAsia"/>
          <w:sz w:val="36"/>
          <w:szCs w:val="36"/>
        </w:rPr>
        <w:t xml:space="preserve"> </w:t>
      </w:r>
      <w:r>
        <w:rPr>
          <w:rFonts w:ascii="仿宋_gb2312" w:eastAsia="仿宋_gb2312" w:cs="Tahoma" w:hint="eastAsia"/>
          <w:sz w:val="36"/>
          <w:szCs w:val="36"/>
        </w:rPr>
        <w:t>答辩时间</w:t>
      </w:r>
      <w:r>
        <w:rPr>
          <w:rFonts w:cs="Tahoma" w:hint="eastAsia"/>
          <w:sz w:val="36"/>
          <w:szCs w:val="36"/>
        </w:rPr>
        <w:t>15—30</w:t>
      </w:r>
      <w:r>
        <w:rPr>
          <w:rFonts w:ascii="仿宋_gb2312" w:eastAsia="仿宋_gb2312" w:cs="Tahoma" w:hint="eastAsia"/>
          <w:sz w:val="36"/>
          <w:szCs w:val="36"/>
        </w:rPr>
        <w:t>分钟，其中学生报告时间不少于</w:t>
      </w:r>
      <w:r>
        <w:rPr>
          <w:rFonts w:cs="Tahoma" w:hint="eastAsia"/>
          <w:sz w:val="36"/>
          <w:szCs w:val="36"/>
        </w:rPr>
        <w:t>10</w:t>
      </w:r>
      <w:r>
        <w:rPr>
          <w:rFonts w:ascii="仿宋_gb2312" w:eastAsia="仿宋_gb2312" w:cs="Tahoma" w:hint="eastAsia"/>
          <w:sz w:val="36"/>
          <w:szCs w:val="36"/>
        </w:rPr>
        <w:t>分钟。</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第二十六条</w:t>
      </w:r>
      <w:r>
        <w:rPr>
          <w:rFonts w:cs="Tahoma" w:hint="eastAsia"/>
          <w:sz w:val="36"/>
          <w:szCs w:val="36"/>
        </w:rPr>
        <w:t xml:space="preserve">  </w:t>
      </w:r>
      <w:r>
        <w:rPr>
          <w:rFonts w:ascii="仿宋_gb2312" w:eastAsia="仿宋_gb2312" w:cs="Tahoma" w:hint="eastAsia"/>
          <w:sz w:val="36"/>
          <w:szCs w:val="36"/>
        </w:rPr>
        <w:t>答辩过程中，答辩小组秘书应做好记录，供评定成绩时参考。评定学生成绩时，该生的指导教师予以回避。</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第二十七条</w:t>
      </w:r>
      <w:r>
        <w:rPr>
          <w:rFonts w:cs="Tahoma" w:hint="eastAsia"/>
          <w:sz w:val="36"/>
          <w:szCs w:val="36"/>
        </w:rPr>
        <w:t xml:space="preserve">  </w:t>
      </w:r>
      <w:r>
        <w:rPr>
          <w:rFonts w:ascii="仿宋_gb2312" w:eastAsia="仿宋_gb2312" w:cs="Tahoma" w:hint="eastAsia"/>
          <w:sz w:val="36"/>
          <w:szCs w:val="36"/>
        </w:rPr>
        <w:t>答辩工作结束后，答辩小组按学校统一的评分标准和评分办法，确定每个学生的成绩，并经院（系）毕业论文（设计）工作领导小组组长审核后，向学生公布。并向院（系）毕业论文（设计）工作领导小组做出书面报告与总结。</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第二十八条</w:t>
      </w:r>
      <w:r>
        <w:rPr>
          <w:rFonts w:cs="Tahoma" w:hint="eastAsia"/>
          <w:sz w:val="36"/>
          <w:szCs w:val="36"/>
        </w:rPr>
        <w:t xml:space="preserve">  </w:t>
      </w:r>
      <w:r>
        <w:rPr>
          <w:rFonts w:ascii="仿宋_gb2312" w:eastAsia="仿宋_gb2312" w:cs="Tahoma" w:hint="eastAsia"/>
          <w:sz w:val="36"/>
          <w:szCs w:val="36"/>
        </w:rPr>
        <w:t>毕业论文（设计）的总评成绩按优秀（</w:t>
      </w:r>
      <w:r>
        <w:rPr>
          <w:rFonts w:cs="Tahoma" w:hint="eastAsia"/>
          <w:sz w:val="36"/>
          <w:szCs w:val="36"/>
        </w:rPr>
        <w:t>90—100</w:t>
      </w:r>
      <w:r>
        <w:rPr>
          <w:rFonts w:ascii="仿宋_gb2312" w:eastAsia="仿宋_gb2312" w:cs="Tahoma" w:hint="eastAsia"/>
          <w:sz w:val="36"/>
          <w:szCs w:val="36"/>
        </w:rPr>
        <w:t>分）、良好（</w:t>
      </w:r>
      <w:r>
        <w:rPr>
          <w:rFonts w:cs="Tahoma" w:hint="eastAsia"/>
          <w:sz w:val="36"/>
          <w:szCs w:val="36"/>
        </w:rPr>
        <w:t>80—89</w:t>
      </w:r>
      <w:r>
        <w:rPr>
          <w:rFonts w:ascii="仿宋_gb2312" w:eastAsia="仿宋_gb2312" w:cs="Tahoma" w:hint="eastAsia"/>
          <w:sz w:val="36"/>
          <w:szCs w:val="36"/>
        </w:rPr>
        <w:t>分）、中等（</w:t>
      </w:r>
      <w:r>
        <w:rPr>
          <w:rFonts w:cs="Tahoma" w:hint="eastAsia"/>
          <w:sz w:val="36"/>
          <w:szCs w:val="36"/>
        </w:rPr>
        <w:t>70—79</w:t>
      </w:r>
      <w:r>
        <w:rPr>
          <w:rFonts w:ascii="仿宋_gb2312" w:eastAsia="仿宋_gb2312" w:cs="Tahoma" w:hint="eastAsia"/>
          <w:sz w:val="36"/>
          <w:szCs w:val="36"/>
        </w:rPr>
        <w:t>分）、及格（</w:t>
      </w:r>
      <w:r>
        <w:rPr>
          <w:rFonts w:cs="Tahoma" w:hint="eastAsia"/>
          <w:sz w:val="36"/>
          <w:szCs w:val="36"/>
        </w:rPr>
        <w:t>60—69</w:t>
      </w:r>
      <w:r>
        <w:rPr>
          <w:rFonts w:ascii="仿宋_gb2312" w:eastAsia="仿宋_gb2312" w:cs="Tahoma" w:hint="eastAsia"/>
          <w:sz w:val="36"/>
          <w:szCs w:val="36"/>
        </w:rPr>
        <w:t>分）、不及格（</w:t>
      </w:r>
      <w:r>
        <w:rPr>
          <w:rFonts w:cs="Tahoma" w:hint="eastAsia"/>
          <w:sz w:val="36"/>
          <w:szCs w:val="36"/>
        </w:rPr>
        <w:t>60</w:t>
      </w:r>
      <w:r>
        <w:rPr>
          <w:rFonts w:ascii="仿宋_gb2312" w:eastAsia="仿宋_gb2312" w:cs="Tahoma" w:hint="eastAsia"/>
          <w:sz w:val="36"/>
          <w:szCs w:val="36"/>
        </w:rPr>
        <w:t>分以下）五级评分，其它环节按百分制评分。被评为优秀的毕业论文（设计）数量不超过答辩学生人数的</w:t>
      </w:r>
      <w:r>
        <w:rPr>
          <w:rFonts w:cs="Tahoma" w:hint="eastAsia"/>
          <w:sz w:val="36"/>
          <w:szCs w:val="36"/>
        </w:rPr>
        <w:t>15%</w:t>
      </w:r>
      <w:r>
        <w:rPr>
          <w:rFonts w:ascii="仿宋_gb2312" w:eastAsia="仿宋_gb2312" w:cs="Tahoma" w:hint="eastAsia"/>
          <w:sz w:val="36"/>
          <w:szCs w:val="36"/>
        </w:rPr>
        <w:t>，良好的不超过</w:t>
      </w:r>
      <w:r>
        <w:rPr>
          <w:rFonts w:cs="Tahoma" w:hint="eastAsia"/>
          <w:sz w:val="36"/>
          <w:szCs w:val="36"/>
        </w:rPr>
        <w:t>45%</w:t>
      </w:r>
      <w:r>
        <w:rPr>
          <w:rFonts w:ascii="仿宋_gb2312" w:eastAsia="仿宋_gb2312" w:cs="Tahoma" w:hint="eastAsia"/>
          <w:sz w:val="36"/>
          <w:szCs w:val="36"/>
        </w:rPr>
        <w:t>。</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第二十九条</w:t>
      </w:r>
      <w:r>
        <w:rPr>
          <w:rFonts w:cs="Tahoma" w:hint="eastAsia"/>
          <w:sz w:val="36"/>
          <w:szCs w:val="36"/>
        </w:rPr>
        <w:t xml:space="preserve">  </w:t>
      </w:r>
      <w:r>
        <w:rPr>
          <w:rFonts w:ascii="仿宋_gb2312" w:eastAsia="仿宋_gb2312" w:cs="Tahoma" w:hint="eastAsia"/>
          <w:sz w:val="36"/>
          <w:szCs w:val="36"/>
        </w:rPr>
        <w:t>有下列情况之一者，其论文（设计）成绩记为不及格：</w:t>
      </w:r>
      <w:r>
        <w:rPr>
          <w:rFonts w:cs="Tahoma" w:hint="eastAsia"/>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1</w:t>
      </w:r>
      <w:r>
        <w:rPr>
          <w:rFonts w:ascii="仿宋_gb2312" w:eastAsia="仿宋_gb2312" w:hAnsi="Calibri" w:cs="Calibri" w:hint="eastAsia"/>
          <w:sz w:val="36"/>
          <w:szCs w:val="36"/>
        </w:rPr>
        <w:t>、未完成毕业论文（设计）规定任务者；</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2</w:t>
      </w:r>
      <w:r>
        <w:rPr>
          <w:rFonts w:ascii="仿宋_gb2312" w:eastAsia="仿宋_gb2312" w:hAnsi="Calibri" w:cs="Calibri" w:hint="eastAsia"/>
          <w:sz w:val="36"/>
          <w:szCs w:val="36"/>
        </w:rPr>
        <w:t>、抄袭、剽窃他人成果，或编造数据、情报、信息者；</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3</w:t>
      </w:r>
      <w:r>
        <w:rPr>
          <w:rFonts w:ascii="仿宋_gb2312" w:eastAsia="仿宋_gb2312" w:hAnsi="Calibri" w:cs="Calibri" w:hint="eastAsia"/>
          <w:sz w:val="36"/>
          <w:szCs w:val="36"/>
        </w:rPr>
        <w:t>、试验、设计、立论或计算方法有严重错误，不符合科研工作基本要求者；</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4</w:t>
      </w:r>
      <w:r>
        <w:rPr>
          <w:rFonts w:ascii="仿宋_gb2312" w:eastAsia="仿宋_gb2312" w:hAnsi="Calibri" w:cs="Calibri" w:hint="eastAsia"/>
          <w:sz w:val="36"/>
          <w:szCs w:val="36"/>
        </w:rPr>
        <w:t>、论文（设计）质量未达到基本要求者；</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5</w:t>
      </w:r>
      <w:r>
        <w:rPr>
          <w:rFonts w:ascii="仿宋_gb2312" w:eastAsia="仿宋_gb2312" w:hAnsi="Calibri" w:cs="Calibri" w:hint="eastAsia"/>
          <w:sz w:val="36"/>
          <w:szCs w:val="36"/>
        </w:rPr>
        <w:t>、答辩未通过者；</w:t>
      </w:r>
      <w:r>
        <w:rPr>
          <w:rFonts w:ascii="Calibri" w:hAnsi="Calibri" w:cs="Calibri"/>
          <w:sz w:val="36"/>
          <w:szCs w:val="36"/>
        </w:rPr>
        <w:t> </w:t>
      </w:r>
    </w:p>
    <w:p w:rsidR="0027069D" w:rsidRDefault="0027069D" w:rsidP="0027069D">
      <w:pPr>
        <w:pStyle w:val="a5"/>
        <w:spacing w:line="390" w:lineRule="atLeast"/>
        <w:ind w:firstLine="560"/>
        <w:rPr>
          <w:rFonts w:cs="Tahoma" w:hint="eastAsia"/>
          <w:sz w:val="21"/>
          <w:szCs w:val="21"/>
        </w:rPr>
      </w:pPr>
      <w:r>
        <w:rPr>
          <w:rFonts w:ascii="Calibri" w:hAnsi="Calibri" w:cs="Calibri"/>
          <w:sz w:val="36"/>
          <w:szCs w:val="36"/>
        </w:rPr>
        <w:t>6</w:t>
      </w:r>
      <w:r>
        <w:rPr>
          <w:rFonts w:ascii="仿宋_gb2312" w:eastAsia="仿宋_gb2312" w:hAnsi="Calibri" w:cs="Calibri" w:hint="eastAsia"/>
          <w:sz w:val="36"/>
          <w:szCs w:val="36"/>
        </w:rPr>
        <w:t>、无正当原因未参加答辩者。毕业论文（设计）不及格者，可申请重修并参加下一年度答辩，重修通过后方能毕业。</w:t>
      </w:r>
      <w:r>
        <w:rPr>
          <w:rFonts w:ascii="Calibri" w:hAnsi="Calibri" w:cs="Calibri"/>
          <w:sz w:val="36"/>
          <w:szCs w:val="36"/>
        </w:rPr>
        <w:t> </w:t>
      </w:r>
    </w:p>
    <w:p w:rsidR="0027069D" w:rsidRDefault="0027069D" w:rsidP="0027069D">
      <w:pPr>
        <w:pStyle w:val="a5"/>
        <w:spacing w:line="390" w:lineRule="atLeast"/>
        <w:jc w:val="center"/>
        <w:rPr>
          <w:rFonts w:cs="Tahoma" w:hint="eastAsia"/>
          <w:sz w:val="21"/>
          <w:szCs w:val="21"/>
        </w:rPr>
      </w:pPr>
      <w:r>
        <w:rPr>
          <w:rFonts w:ascii="黑体" w:eastAsia="黑体" w:hAnsi="黑体" w:cs="Tahoma" w:hint="eastAsia"/>
          <w:sz w:val="36"/>
          <w:szCs w:val="36"/>
        </w:rPr>
        <w:t>第八章</w:t>
      </w:r>
      <w:r>
        <w:rPr>
          <w:rFonts w:cs="Tahoma" w:hint="eastAsia"/>
          <w:sz w:val="36"/>
          <w:szCs w:val="36"/>
        </w:rPr>
        <w:t xml:space="preserve">  </w:t>
      </w:r>
      <w:r>
        <w:rPr>
          <w:rFonts w:ascii="黑体" w:eastAsia="黑体" w:hAnsi="黑体" w:cs="Tahoma" w:hint="eastAsia"/>
          <w:sz w:val="36"/>
          <w:szCs w:val="36"/>
        </w:rPr>
        <w:t>总结与资料管理</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第三十条</w:t>
      </w:r>
      <w:r>
        <w:rPr>
          <w:rStyle w:val="a6"/>
          <w:rFonts w:cs="Tahoma" w:hint="eastAsia"/>
          <w:sz w:val="36"/>
          <w:szCs w:val="36"/>
        </w:rPr>
        <w:t xml:space="preserve">  </w:t>
      </w:r>
      <w:r>
        <w:rPr>
          <w:rFonts w:ascii="仿宋_gb2312" w:eastAsia="仿宋_gb2312" w:cs="Tahoma" w:hint="eastAsia"/>
          <w:sz w:val="36"/>
          <w:szCs w:val="36"/>
        </w:rPr>
        <w:t>毕业答辩结束后，各院（系）要召开专门会议，对毕业论文（设计）全过程及毕业答辩环节进行认真总结，并将院（系）总结报告和学生论文（设计）成绩报送教务处。</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第三十一条</w:t>
      </w:r>
      <w:r>
        <w:rPr>
          <w:rFonts w:cs="Tahoma" w:hint="eastAsia"/>
          <w:sz w:val="36"/>
          <w:szCs w:val="36"/>
        </w:rPr>
        <w:t xml:space="preserve">  </w:t>
      </w:r>
      <w:r>
        <w:rPr>
          <w:rFonts w:ascii="仿宋_gb2312" w:eastAsia="仿宋_gb2312" w:cs="Tahoma" w:hint="eastAsia"/>
          <w:sz w:val="36"/>
          <w:szCs w:val="36"/>
        </w:rPr>
        <w:t>答辩结束后，学生应结合指导教师、评阅教师及答辩小组提出的意见对论文（设计）进行修改，按照相关规范及行业标准进行装订。</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第三十二条</w:t>
      </w:r>
      <w:r>
        <w:rPr>
          <w:rFonts w:cs="Tahoma" w:hint="eastAsia"/>
          <w:sz w:val="36"/>
          <w:szCs w:val="36"/>
        </w:rPr>
        <w:t xml:space="preserve">  </w:t>
      </w:r>
      <w:r>
        <w:rPr>
          <w:rFonts w:ascii="仿宋_gb2312" w:eastAsia="仿宋_gb2312" w:cs="Tahoma" w:hint="eastAsia"/>
          <w:sz w:val="36"/>
          <w:szCs w:val="36"/>
        </w:rPr>
        <w:t>各学院（系）应根据学校要求和安排，积极组织开展毕业论文（设计）质量与教学管理专项评估工作，认真做好优秀论文（设计）的推荐评奖工作。</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第三十三条</w:t>
      </w:r>
      <w:r>
        <w:rPr>
          <w:rFonts w:cs="Tahoma" w:hint="eastAsia"/>
          <w:sz w:val="36"/>
          <w:szCs w:val="36"/>
        </w:rPr>
        <w:t xml:space="preserve">  </w:t>
      </w:r>
      <w:r>
        <w:rPr>
          <w:rFonts w:ascii="仿宋_gb2312" w:eastAsia="仿宋_gb2312" w:cs="Tahoma" w:hint="eastAsia"/>
          <w:sz w:val="36"/>
          <w:szCs w:val="36"/>
        </w:rPr>
        <w:t>所有的毕业论文（设计）资料（包括图纸、实验记录、原始数据、上机程序、实物照片、图片、音像资料、设计手稿、打印本、样品实物等）学生不得自行带走，由指导教师负责收回，各院（系）作为教学资料妥善保存，整理归档。有关成果学生不得擅自寄出发表，如需发表，必须经指导教师推荐，报主管院长（主任）批准。需要保密的毕业论文（设计），须由指导教师提出申请，经院（系）审核同意并报学校教务处备案，按学校有关保密规定处理。</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第三十四条</w:t>
      </w:r>
      <w:r>
        <w:rPr>
          <w:rFonts w:cs="Tahoma" w:hint="eastAsia"/>
          <w:sz w:val="36"/>
          <w:szCs w:val="36"/>
        </w:rPr>
        <w:t xml:space="preserve">  </w:t>
      </w:r>
      <w:r>
        <w:rPr>
          <w:rFonts w:ascii="仿宋_gb2312" w:eastAsia="仿宋_gb2312" w:cs="Tahoma" w:hint="eastAsia"/>
          <w:sz w:val="36"/>
          <w:szCs w:val="36"/>
        </w:rPr>
        <w:t>延长学习年限学生的毕业论文（设计）资料按实际毕业年份归档。</w:t>
      </w:r>
      <w:r>
        <w:rPr>
          <w:rFonts w:cs="Tahoma" w:hint="eastAsia"/>
          <w:sz w:val="36"/>
          <w:szCs w:val="36"/>
        </w:rPr>
        <w:t> </w:t>
      </w:r>
    </w:p>
    <w:p w:rsidR="0027069D" w:rsidRDefault="0027069D" w:rsidP="0027069D">
      <w:pPr>
        <w:pStyle w:val="a5"/>
        <w:spacing w:line="390" w:lineRule="atLeast"/>
        <w:rPr>
          <w:rFonts w:cs="Tahoma" w:hint="eastAsia"/>
          <w:sz w:val="21"/>
          <w:szCs w:val="21"/>
        </w:rPr>
      </w:pPr>
      <w:r>
        <w:rPr>
          <w:rFonts w:ascii="黑体" w:eastAsia="黑体" w:hAnsi="黑体" w:cs="Tahoma" w:hint="eastAsia"/>
          <w:sz w:val="36"/>
          <w:szCs w:val="36"/>
        </w:rPr>
        <w:t>第九章</w:t>
      </w:r>
      <w:r>
        <w:rPr>
          <w:rFonts w:cs="Tahoma" w:hint="eastAsia"/>
          <w:sz w:val="36"/>
          <w:szCs w:val="36"/>
        </w:rPr>
        <w:t xml:space="preserve">  </w:t>
      </w:r>
      <w:r>
        <w:rPr>
          <w:rFonts w:ascii="黑体" w:eastAsia="黑体" w:hAnsi="黑体" w:cs="Tahoma" w:hint="eastAsia"/>
          <w:sz w:val="36"/>
          <w:szCs w:val="36"/>
        </w:rPr>
        <w:t>附</w:t>
      </w:r>
      <w:r>
        <w:rPr>
          <w:rFonts w:cs="Tahoma" w:hint="eastAsia"/>
          <w:sz w:val="36"/>
          <w:szCs w:val="36"/>
        </w:rPr>
        <w:t> </w:t>
      </w:r>
      <w:r>
        <w:rPr>
          <w:rFonts w:ascii="黑体" w:eastAsia="黑体" w:hAnsi="黑体" w:cs="Tahoma" w:hint="eastAsia"/>
          <w:sz w:val="36"/>
          <w:szCs w:val="36"/>
        </w:rPr>
        <w:t>则</w:t>
      </w:r>
      <w:r>
        <w:rPr>
          <w:rFonts w:cs="Tahoma" w:hint="eastAsia"/>
          <w:sz w:val="36"/>
          <w:szCs w:val="36"/>
        </w:rPr>
        <w:t>  </w:t>
      </w:r>
    </w:p>
    <w:p w:rsidR="0027069D" w:rsidRDefault="0027069D" w:rsidP="0027069D">
      <w:pPr>
        <w:pStyle w:val="a5"/>
        <w:spacing w:line="390" w:lineRule="atLeast"/>
        <w:ind w:firstLine="562"/>
        <w:rPr>
          <w:rFonts w:cs="Tahoma" w:hint="eastAsia"/>
          <w:sz w:val="21"/>
          <w:szCs w:val="21"/>
        </w:rPr>
      </w:pPr>
      <w:r>
        <w:rPr>
          <w:rStyle w:val="a6"/>
          <w:rFonts w:ascii="仿宋_gb2312" w:eastAsia="仿宋_gb2312" w:hAnsi="Calibri" w:cs="Calibri" w:hint="eastAsia"/>
          <w:sz w:val="36"/>
          <w:szCs w:val="36"/>
        </w:rPr>
        <w:t>第三十五条</w:t>
      </w:r>
      <w:r>
        <w:rPr>
          <w:rFonts w:cs="Tahoma" w:hint="eastAsia"/>
          <w:sz w:val="36"/>
          <w:szCs w:val="36"/>
        </w:rPr>
        <w:t xml:space="preserve">  </w:t>
      </w:r>
      <w:r>
        <w:rPr>
          <w:rFonts w:ascii="仿宋_gb2312" w:eastAsia="仿宋_gb2312" w:cs="Tahoma" w:hint="eastAsia"/>
          <w:sz w:val="36"/>
          <w:szCs w:val="36"/>
        </w:rPr>
        <w:t>本规定从</w:t>
      </w:r>
      <w:r>
        <w:rPr>
          <w:rFonts w:cs="Tahoma" w:hint="eastAsia"/>
          <w:sz w:val="36"/>
          <w:szCs w:val="36"/>
        </w:rPr>
        <w:t>2006</w:t>
      </w:r>
      <w:r>
        <w:rPr>
          <w:rFonts w:ascii="仿宋_gb2312" w:eastAsia="仿宋_gb2312" w:cs="Tahoma" w:hint="eastAsia"/>
          <w:sz w:val="36"/>
          <w:szCs w:val="36"/>
        </w:rPr>
        <w:t>届毕业生起执行，由教务处负责解释。以前有关规范（定）与本规范不符的，以本规范为准。</w:t>
      </w:r>
    </w:p>
    <w:p w:rsidR="00F67949" w:rsidRPr="0027069D" w:rsidRDefault="00F67949"/>
    <w:sectPr w:rsidR="00F67949" w:rsidRPr="002706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949" w:rsidRDefault="00F67949" w:rsidP="0027069D">
      <w:r>
        <w:separator/>
      </w:r>
    </w:p>
  </w:endnote>
  <w:endnote w:type="continuationSeparator" w:id="1">
    <w:p w:rsidR="00F67949" w:rsidRDefault="00F67949" w:rsidP="002706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949" w:rsidRDefault="00F67949" w:rsidP="0027069D">
      <w:r>
        <w:separator/>
      </w:r>
    </w:p>
  </w:footnote>
  <w:footnote w:type="continuationSeparator" w:id="1">
    <w:p w:rsidR="00F67949" w:rsidRDefault="00F67949" w:rsidP="002706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069D"/>
    <w:rsid w:val="0027069D"/>
    <w:rsid w:val="00F679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06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069D"/>
    <w:rPr>
      <w:sz w:val="18"/>
      <w:szCs w:val="18"/>
    </w:rPr>
  </w:style>
  <w:style w:type="paragraph" w:styleId="a4">
    <w:name w:val="footer"/>
    <w:basedOn w:val="a"/>
    <w:link w:val="Char0"/>
    <w:uiPriority w:val="99"/>
    <w:semiHidden/>
    <w:unhideWhenUsed/>
    <w:rsid w:val="002706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7069D"/>
    <w:rPr>
      <w:sz w:val="18"/>
      <w:szCs w:val="18"/>
    </w:rPr>
  </w:style>
  <w:style w:type="paragraph" w:styleId="a5">
    <w:name w:val="Normal (Web)"/>
    <w:basedOn w:val="a"/>
    <w:uiPriority w:val="99"/>
    <w:semiHidden/>
    <w:unhideWhenUsed/>
    <w:rsid w:val="0027069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7069D"/>
    <w:rPr>
      <w:b/>
      <w:bCs/>
    </w:rPr>
  </w:style>
</w:styles>
</file>

<file path=word/webSettings.xml><?xml version="1.0" encoding="utf-8"?>
<w:webSettings xmlns:r="http://schemas.openxmlformats.org/officeDocument/2006/relationships" xmlns:w="http://schemas.openxmlformats.org/wordprocessingml/2006/main">
  <w:divs>
    <w:div w:id="295140985">
      <w:bodyDiv w:val="1"/>
      <w:marLeft w:val="0"/>
      <w:marRight w:val="0"/>
      <w:marTop w:val="0"/>
      <w:marBottom w:val="0"/>
      <w:divBdr>
        <w:top w:val="none" w:sz="0" w:space="0" w:color="auto"/>
        <w:left w:val="none" w:sz="0" w:space="0" w:color="auto"/>
        <w:bottom w:val="none" w:sz="0" w:space="0" w:color="auto"/>
        <w:right w:val="none" w:sz="0" w:space="0" w:color="auto"/>
      </w:divBdr>
      <w:divsChild>
        <w:div w:id="1365012755">
          <w:marLeft w:val="0"/>
          <w:marRight w:val="0"/>
          <w:marTop w:val="0"/>
          <w:marBottom w:val="0"/>
          <w:divBdr>
            <w:top w:val="none" w:sz="0" w:space="0" w:color="auto"/>
            <w:left w:val="none" w:sz="0" w:space="0" w:color="auto"/>
            <w:bottom w:val="none" w:sz="0" w:space="0" w:color="auto"/>
            <w:right w:val="none" w:sz="0" w:space="0" w:color="auto"/>
          </w:divBdr>
          <w:divsChild>
            <w:div w:id="681668504">
              <w:marLeft w:val="0"/>
              <w:marRight w:val="0"/>
              <w:marTop w:val="300"/>
              <w:marBottom w:val="0"/>
              <w:divBdr>
                <w:top w:val="none" w:sz="0" w:space="0" w:color="auto"/>
                <w:left w:val="none" w:sz="0" w:space="0" w:color="auto"/>
                <w:bottom w:val="none" w:sz="0" w:space="0" w:color="auto"/>
                <w:right w:val="none" w:sz="0" w:space="0" w:color="auto"/>
              </w:divBdr>
              <w:divsChild>
                <w:div w:id="995913800">
                  <w:marLeft w:val="0"/>
                  <w:marRight w:val="0"/>
                  <w:marTop w:val="0"/>
                  <w:marBottom w:val="0"/>
                  <w:divBdr>
                    <w:top w:val="none" w:sz="0" w:space="0" w:color="auto"/>
                    <w:left w:val="none" w:sz="0" w:space="0" w:color="auto"/>
                    <w:bottom w:val="none" w:sz="0" w:space="0" w:color="auto"/>
                    <w:right w:val="none" w:sz="0" w:space="0" w:color="auto"/>
                  </w:divBdr>
                  <w:divsChild>
                    <w:div w:id="315495844">
                      <w:marLeft w:val="0"/>
                      <w:marRight w:val="0"/>
                      <w:marTop w:val="150"/>
                      <w:marBottom w:val="0"/>
                      <w:divBdr>
                        <w:top w:val="single" w:sz="12" w:space="8" w:color="CCFFCC"/>
                        <w:left w:val="none" w:sz="0" w:space="0" w:color="auto"/>
                        <w:bottom w:val="none" w:sz="0" w:space="0" w:color="auto"/>
                        <w:right w:val="none" w:sz="0" w:space="0" w:color="auto"/>
                      </w:divBdr>
                    </w:div>
                  </w:divsChild>
                </w:div>
              </w:divsChild>
            </w:div>
          </w:divsChild>
        </w:div>
      </w:divsChild>
    </w:div>
    <w:div w:id="690298657">
      <w:bodyDiv w:val="1"/>
      <w:marLeft w:val="0"/>
      <w:marRight w:val="0"/>
      <w:marTop w:val="0"/>
      <w:marBottom w:val="0"/>
      <w:divBdr>
        <w:top w:val="none" w:sz="0" w:space="0" w:color="auto"/>
        <w:left w:val="none" w:sz="0" w:space="0" w:color="auto"/>
        <w:bottom w:val="none" w:sz="0" w:space="0" w:color="auto"/>
        <w:right w:val="none" w:sz="0" w:space="0" w:color="auto"/>
      </w:divBdr>
      <w:divsChild>
        <w:div w:id="1155562479">
          <w:marLeft w:val="0"/>
          <w:marRight w:val="0"/>
          <w:marTop w:val="0"/>
          <w:marBottom w:val="0"/>
          <w:divBdr>
            <w:top w:val="none" w:sz="0" w:space="0" w:color="auto"/>
            <w:left w:val="none" w:sz="0" w:space="0" w:color="auto"/>
            <w:bottom w:val="none" w:sz="0" w:space="0" w:color="auto"/>
            <w:right w:val="none" w:sz="0" w:space="0" w:color="auto"/>
          </w:divBdr>
          <w:divsChild>
            <w:div w:id="307787135">
              <w:marLeft w:val="0"/>
              <w:marRight w:val="0"/>
              <w:marTop w:val="300"/>
              <w:marBottom w:val="0"/>
              <w:divBdr>
                <w:top w:val="none" w:sz="0" w:space="0" w:color="auto"/>
                <w:left w:val="none" w:sz="0" w:space="0" w:color="auto"/>
                <w:bottom w:val="none" w:sz="0" w:space="0" w:color="auto"/>
                <w:right w:val="none" w:sz="0" w:space="0" w:color="auto"/>
              </w:divBdr>
              <w:divsChild>
                <w:div w:id="178205463">
                  <w:marLeft w:val="0"/>
                  <w:marRight w:val="0"/>
                  <w:marTop w:val="0"/>
                  <w:marBottom w:val="0"/>
                  <w:divBdr>
                    <w:top w:val="none" w:sz="0" w:space="0" w:color="auto"/>
                    <w:left w:val="none" w:sz="0" w:space="0" w:color="auto"/>
                    <w:bottom w:val="none" w:sz="0" w:space="0" w:color="auto"/>
                    <w:right w:val="none" w:sz="0" w:space="0" w:color="auto"/>
                  </w:divBdr>
                  <w:divsChild>
                    <w:div w:id="4677262">
                      <w:marLeft w:val="0"/>
                      <w:marRight w:val="0"/>
                      <w:marTop w:val="150"/>
                      <w:marBottom w:val="0"/>
                      <w:divBdr>
                        <w:top w:val="single" w:sz="12" w:space="8" w:color="CCFFCC"/>
                        <w:left w:val="none" w:sz="0" w:space="0" w:color="auto"/>
                        <w:bottom w:val="none" w:sz="0" w:space="0" w:color="auto"/>
                        <w:right w:val="none" w:sz="0" w:space="0" w:color="auto"/>
                      </w:divBdr>
                      <w:divsChild>
                        <w:div w:id="2712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727</Words>
  <Characters>4147</Characters>
  <Application>Microsoft Office Word</Application>
  <DocSecurity>0</DocSecurity>
  <Lines>34</Lines>
  <Paragraphs>9</Paragraphs>
  <ScaleCrop>false</ScaleCrop>
  <Company>Microsoft</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c:creator>
  <cp:keywords/>
  <dc:description/>
  <cp:lastModifiedBy>yl</cp:lastModifiedBy>
  <cp:revision>2</cp:revision>
  <dcterms:created xsi:type="dcterms:W3CDTF">2017-05-22T02:11:00Z</dcterms:created>
  <dcterms:modified xsi:type="dcterms:W3CDTF">2017-05-22T02:12:00Z</dcterms:modified>
</cp:coreProperties>
</file>