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7338B">
      <w:pPr>
        <w:pStyle w:val="5"/>
        <w:widowControl w:val="0"/>
        <w:spacing w:before="0" w:beforeAutospacing="0" w:after="0" w:afterAutospacing="0" w:line="700" w:lineRule="exact"/>
        <w:ind w:right="74"/>
        <w:rPr>
          <w:rFonts w:ascii="仿宋" w:hAnsi="仿宋" w:eastAsia="仿宋" w:cs="黑体"/>
          <w:color w:val="000000"/>
          <w:kern w:val="2"/>
          <w:sz w:val="32"/>
          <w:szCs w:val="32"/>
        </w:rPr>
      </w:pPr>
      <w:r>
        <w:rPr>
          <w:rFonts w:hint="eastAsia" w:ascii="仿宋" w:hAnsi="仿宋" w:eastAsia="仿宋" w:cs="黑体"/>
          <w:color w:val="000000"/>
          <w:kern w:val="2"/>
          <w:sz w:val="32"/>
          <w:szCs w:val="32"/>
        </w:rPr>
        <w:t>附件</w:t>
      </w:r>
      <w:r>
        <w:rPr>
          <w:rFonts w:ascii="仿宋" w:hAnsi="仿宋" w:eastAsia="仿宋" w:cs="黑体"/>
          <w:color w:val="000000"/>
          <w:kern w:val="2"/>
          <w:sz w:val="32"/>
          <w:szCs w:val="32"/>
        </w:rPr>
        <w:t>2</w:t>
      </w:r>
      <w:r>
        <w:rPr>
          <w:rFonts w:hint="eastAsia" w:ascii="仿宋" w:hAnsi="仿宋" w:eastAsia="仿宋" w:cs="黑体"/>
          <w:color w:val="000000"/>
          <w:kern w:val="2"/>
          <w:sz w:val="32"/>
          <w:szCs w:val="32"/>
        </w:rPr>
        <w:t>：</w:t>
      </w:r>
    </w:p>
    <w:p w14:paraId="35530F1B">
      <w:pPr>
        <w:pStyle w:val="5"/>
        <w:widowControl w:val="0"/>
        <w:spacing w:before="0" w:beforeAutospacing="0" w:after="0" w:afterAutospacing="0" w:line="700" w:lineRule="exact"/>
        <w:ind w:right="74"/>
        <w:jc w:val="center"/>
        <w:rPr>
          <w:rFonts w:ascii="方正小标宋简体" w:hAnsi="黑体" w:eastAsia="方正小标宋简体" w:cs="黑体"/>
          <w:color w:val="000000"/>
          <w:kern w:val="2"/>
          <w:sz w:val="42"/>
          <w:szCs w:val="44"/>
        </w:rPr>
      </w:pPr>
      <w:r>
        <w:rPr>
          <w:rFonts w:hint="eastAsia" w:ascii="方正小标宋简体" w:hAnsi="黑体" w:eastAsia="方正小标宋简体" w:cs="黑体"/>
          <w:color w:val="000000"/>
          <w:kern w:val="2"/>
          <w:sz w:val="42"/>
          <w:szCs w:val="44"/>
        </w:rPr>
        <w:t>生命科学学院202</w:t>
      </w:r>
      <w:r>
        <w:rPr>
          <w:rFonts w:ascii="方正小标宋简体" w:hAnsi="黑体" w:eastAsia="方正小标宋简体" w:cs="黑体"/>
          <w:color w:val="000000"/>
          <w:kern w:val="2"/>
          <w:sz w:val="42"/>
          <w:szCs w:val="44"/>
        </w:rPr>
        <w:t>7</w:t>
      </w:r>
      <w:r>
        <w:rPr>
          <w:rFonts w:hint="eastAsia" w:ascii="方正小标宋简体" w:hAnsi="黑体" w:eastAsia="方正小标宋简体" w:cs="黑体"/>
          <w:color w:val="000000"/>
          <w:kern w:val="2"/>
          <w:sz w:val="42"/>
          <w:szCs w:val="44"/>
        </w:rPr>
        <w:t>年</w:t>
      </w:r>
    </w:p>
    <w:p w14:paraId="3B7AA25C">
      <w:pPr>
        <w:spacing w:line="600" w:lineRule="exact"/>
        <w:jc w:val="center"/>
        <w:rPr>
          <w:rFonts w:ascii="方正小标宋简体" w:hAnsi="黑体" w:eastAsia="方正小标宋简体" w:cs="黑体"/>
          <w:color w:val="000000"/>
          <w:sz w:val="42"/>
          <w:szCs w:val="44"/>
        </w:rPr>
      </w:pPr>
      <w:r>
        <w:rPr>
          <w:rFonts w:hint="eastAsia" w:ascii="方正小标宋简体" w:hAnsi="黑体" w:eastAsia="方正小标宋简体" w:cs="黑体"/>
          <w:color w:val="000000"/>
          <w:sz w:val="42"/>
          <w:szCs w:val="44"/>
        </w:rPr>
        <w:t>推荐优秀应届本科毕业生免试攻读</w:t>
      </w:r>
    </w:p>
    <w:p w14:paraId="0C92D603">
      <w:pPr>
        <w:spacing w:line="600" w:lineRule="exact"/>
        <w:jc w:val="center"/>
        <w:rPr>
          <w:rFonts w:ascii="黑体" w:hAnsi="黑体" w:eastAsia="方正小标宋简体" w:cs="仿宋_GB2312"/>
          <w:color w:val="000000"/>
          <w:sz w:val="32"/>
          <w:szCs w:val="32"/>
        </w:rPr>
      </w:pPr>
      <w:r>
        <w:rPr>
          <w:rFonts w:hint="eastAsia" w:ascii="方正小标宋简体" w:hAnsi="黑体" w:eastAsia="方正小标宋简体" w:cs="黑体"/>
          <w:color w:val="000000"/>
          <w:sz w:val="42"/>
          <w:szCs w:val="44"/>
        </w:rPr>
        <w:t>研究生工作考查评分实施细则</w:t>
      </w:r>
    </w:p>
    <w:p w14:paraId="1E7E199B">
      <w:pPr>
        <w:spacing w:line="600" w:lineRule="exact"/>
        <w:jc w:val="center"/>
        <w:rPr>
          <w:rFonts w:ascii="黑体" w:hAnsi="黑体" w:eastAsia="黑体" w:cs="仿宋_GB2312"/>
          <w:color w:val="000000"/>
          <w:sz w:val="32"/>
          <w:szCs w:val="32"/>
        </w:rPr>
      </w:pPr>
    </w:p>
    <w:p w14:paraId="16E2ABF5">
      <w:pPr>
        <w:pStyle w:val="5"/>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14:paraId="1AB0D508">
      <w:pPr>
        <w:widowControl/>
        <w:ind w:firstLine="640" w:firstLineChars="200"/>
        <w:jc w:val="left"/>
        <w:rPr>
          <w:rFonts w:ascii="黑体" w:hAnsi="黑体" w:eastAsia="黑体" w:cs="黑体"/>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研究生（以下简称“推免生”）考查评分工作，根据《西北农林科技大学推荐优秀应届本科毕业生免试攻读研究生实施办法》(校研发〔2024〕236号)和《西北农林科技大学生物科学基地班免试攻读研究生遴选办法（试行）》（</w:t>
      </w:r>
      <w:r>
        <w:rPr>
          <w:rFonts w:ascii="仿宋" w:hAnsi="仿宋" w:eastAsia="仿宋" w:cs="仿宋"/>
          <w:color w:val="000000"/>
          <w:kern w:val="0"/>
          <w:sz w:val="31"/>
          <w:szCs w:val="31"/>
          <w:lang w:bidi="ar"/>
        </w:rPr>
        <w:t>教务〔2024〕5号</w:t>
      </w:r>
      <w:r>
        <w:rPr>
          <w:rFonts w:hint="eastAsia" w:ascii="仿宋_GB2312" w:eastAsia="仿宋_GB2312" w:cs="仿宋_GB2312" w:hAnsiTheme="minorEastAsia"/>
          <w:color w:val="000000"/>
          <w:sz w:val="32"/>
          <w:szCs w:val="32"/>
        </w:rPr>
        <w:t>）有关规定，结合《关于做好202</w:t>
      </w:r>
      <w:r>
        <w:rPr>
          <w:rFonts w:ascii="仿宋_GB2312" w:eastAsia="仿宋_GB2312" w:cs="仿宋_GB2312" w:hAnsiTheme="minorEastAsia"/>
          <w:color w:val="000000"/>
          <w:sz w:val="32"/>
          <w:szCs w:val="32"/>
        </w:rPr>
        <w:t>7</w:t>
      </w:r>
      <w:r>
        <w:rPr>
          <w:rFonts w:hint="eastAsia" w:ascii="仿宋_GB2312" w:eastAsia="仿宋_GB2312" w:cs="仿宋_GB2312" w:hAnsiTheme="minorEastAsia"/>
          <w:color w:val="000000"/>
          <w:sz w:val="32"/>
          <w:szCs w:val="32"/>
        </w:rPr>
        <w:t>年推荐优秀应届本科毕业生免试攻读研究生工作的通知》内容，本着公平、公正、公开的原则，特制定本细则。</w:t>
      </w:r>
    </w:p>
    <w:p w14:paraId="436725B5">
      <w:pPr>
        <w:spacing w:line="600" w:lineRule="exact"/>
        <w:jc w:val="center"/>
        <w:rPr>
          <w:rFonts w:ascii="黑体" w:hAnsi="黑体" w:eastAsia="黑体" w:cs="仿宋_GB2312"/>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b/>
          <w:color w:val="000000"/>
          <w:sz w:val="32"/>
          <w:szCs w:val="32"/>
        </w:rPr>
        <w:t xml:space="preserve"> </w:t>
      </w:r>
      <w:r>
        <w:rPr>
          <w:rFonts w:hint="eastAsia" w:ascii="黑体" w:hAnsi="黑体" w:eastAsia="黑体" w:cs="仿宋_GB2312"/>
          <w:color w:val="000000"/>
          <w:sz w:val="32"/>
          <w:szCs w:val="32"/>
        </w:rPr>
        <w:t>评分办法</w:t>
      </w:r>
    </w:p>
    <w:p w14:paraId="02DAC8DD">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第二条  根据相关要求，学院对符合基本条件且申请推荐资格的学生，从思想政治品德、学业成绩、科研潜质三个方面进行综合考核，考核总成绩满分为100分，其中思想政治品德考核成绩占总成绩的10%、学业成绩占总成绩的40%、科研潜质考核成绩占总成绩的50%。</w:t>
      </w:r>
    </w:p>
    <w:p w14:paraId="061B9519">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总成绩的计算公式如下：</w:t>
      </w:r>
    </w:p>
    <w:p w14:paraId="2A9CF03D">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Z=0.1A+0.4B+0.5C</w:t>
      </w:r>
    </w:p>
    <w:p w14:paraId="7BFD12C0">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公式中：</w:t>
      </w:r>
    </w:p>
    <w:p w14:paraId="7D5D64A9">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Z:总成绩。</w:t>
      </w:r>
    </w:p>
    <w:p w14:paraId="42E3543E">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A：思想政治品德考核成绩，满分为100分，按照党委学生工作部制定的评分实施细则执行。</w:t>
      </w:r>
    </w:p>
    <w:p w14:paraId="1DFA08B3">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B:学业成绩，满分为100分，按照教务处制定的评分实施细则执行。 </w:t>
      </w:r>
    </w:p>
    <w:p w14:paraId="4D45C8F7">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C：科研潜质考核成绩，满分为100分。</w:t>
      </w: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w:t>
      </w:r>
      <w:r>
        <w:rPr>
          <w:rFonts w:hint="eastAsia" w:ascii="仿宋_GB2312" w:eastAsia="仿宋_GB2312" w:cs="仿宋_GB2312" w:hAnsiTheme="minorEastAsia"/>
          <w:sz w:val="32"/>
          <w:szCs w:val="32"/>
        </w:rPr>
        <w:t>包括科研能力评价和科研潜质加分两部分。</w:t>
      </w:r>
    </w:p>
    <w:p w14:paraId="5F5324D9">
      <w:pPr>
        <w:numPr>
          <w:ilvl w:val="0"/>
          <w:numId w:val="1"/>
        </w:num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生物科学、生物技术和生物工程专业具体考核办法如下：</w:t>
      </w:r>
    </w:p>
    <w:p w14:paraId="5BD3F9E2">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（1）科研能力评价（5</w:t>
      </w:r>
      <w:r>
        <w:rPr>
          <w:rFonts w:ascii="仿宋_GB2312" w:eastAsia="仿宋_GB2312" w:cs="仿宋_GB2312" w:hAnsiTheme="minorEastAsia"/>
          <w:sz w:val="32"/>
          <w:szCs w:val="32"/>
        </w:rPr>
        <w:t>0</w:t>
      </w:r>
      <w:r>
        <w:rPr>
          <w:rFonts w:hint="eastAsia" w:ascii="仿宋_GB2312" w:eastAsia="仿宋_GB2312" w:cs="仿宋_GB2312" w:hAnsiTheme="minorEastAsia"/>
          <w:sz w:val="32"/>
          <w:szCs w:val="32"/>
        </w:rPr>
        <w:t>分）</w:t>
      </w:r>
    </w:p>
    <w:p w14:paraId="27C56CD1">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由推免生科研能力评价小组进行评价，主要考核外语表达能力、文献阅读能力、专业知识、创新能力、科研水平等方面；</w:t>
      </w:r>
    </w:p>
    <w:p w14:paraId="1783BE0A">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（2）</w:t>
      </w:r>
      <w:r>
        <w:rPr>
          <w:rFonts w:hint="eastAsia" w:ascii="仿宋_GB2312" w:eastAsia="仿宋_GB2312" w:cs="仿宋_GB2312" w:hAnsiTheme="minorEastAsia"/>
          <w:sz w:val="32"/>
          <w:szCs w:val="32"/>
        </w:rPr>
        <w:t>科研潜质加分（5</w:t>
      </w:r>
      <w:r>
        <w:rPr>
          <w:rFonts w:ascii="仿宋_GB2312" w:eastAsia="仿宋_GB2312" w:cs="仿宋_GB2312" w:hAnsiTheme="minorEastAsia"/>
          <w:sz w:val="32"/>
          <w:szCs w:val="32"/>
        </w:rPr>
        <w:t>0</w:t>
      </w:r>
      <w:r>
        <w:rPr>
          <w:rFonts w:hint="eastAsia" w:ascii="仿宋_GB2312" w:eastAsia="仿宋_GB2312" w:cs="仿宋_GB2312" w:hAnsiTheme="minorEastAsia"/>
          <w:sz w:val="32"/>
          <w:szCs w:val="32"/>
        </w:rPr>
        <w:t>分）</w:t>
      </w:r>
    </w:p>
    <w:p w14:paraId="1A3CA66C">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素养，主要包括</w:t>
      </w:r>
      <w:r>
        <w:rPr>
          <w:rFonts w:hint="eastAsia" w:ascii="仿宋_GB2312" w:eastAsia="仿宋_GB2312" w:cs="仿宋_GB2312" w:hAnsiTheme="minorEastAsia"/>
          <w:sz w:val="32"/>
          <w:szCs w:val="32"/>
        </w:rPr>
        <w:t>国际组织实习、志愿服务、应征入伍、</w:t>
      </w:r>
      <w:r>
        <w:rPr>
          <w:rFonts w:ascii="仿宋_GB2312" w:eastAsia="仿宋_GB2312" w:cs="仿宋_GB2312" w:hAnsiTheme="minorEastAsia"/>
          <w:sz w:val="32"/>
          <w:szCs w:val="32"/>
        </w:rPr>
        <w:t>外语水平、</w:t>
      </w:r>
      <w:r>
        <w:rPr>
          <w:rFonts w:hint="eastAsia" w:ascii="仿宋_GB2312" w:eastAsia="仿宋_GB2312" w:cs="仿宋_GB2312" w:hAnsiTheme="minorEastAsia"/>
          <w:sz w:val="32"/>
          <w:szCs w:val="32"/>
        </w:rPr>
        <w:t>科技竞赛、学术研究以及发明及专利</w:t>
      </w:r>
      <w:r>
        <w:rPr>
          <w:rFonts w:ascii="仿宋_GB2312" w:eastAsia="仿宋_GB2312" w:cs="仿宋_GB2312" w:hAnsiTheme="minorEastAsia"/>
          <w:sz w:val="32"/>
          <w:szCs w:val="32"/>
        </w:rPr>
        <w:t>，具体加分内容见附件</w:t>
      </w:r>
      <w:r>
        <w:rPr>
          <w:rFonts w:hint="eastAsia" w:ascii="仿宋_GB2312" w:eastAsia="仿宋_GB2312" w:cs="仿宋_GB2312" w:hAnsiTheme="minorEastAsia"/>
          <w:sz w:val="32"/>
          <w:szCs w:val="32"/>
        </w:rPr>
        <w:t>1</w:t>
      </w:r>
      <w:r>
        <w:rPr>
          <w:rFonts w:ascii="仿宋_GB2312" w:eastAsia="仿宋_GB2312" w:cs="仿宋_GB2312" w:hAnsiTheme="minorEastAsia"/>
          <w:sz w:val="32"/>
          <w:szCs w:val="32"/>
        </w:rPr>
        <w:t>。</w:t>
      </w:r>
    </w:p>
    <w:p w14:paraId="1BAC0196">
      <w:pPr>
        <w:numPr>
          <w:ilvl w:val="0"/>
          <w:numId w:val="2"/>
        </w:num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生物科学基地班具体考核办法如下：</w:t>
      </w:r>
    </w:p>
    <w:p w14:paraId="7BCA760D">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科研潜质考核=科研能力评价×60%+科研潜质加分。 </w:t>
      </w:r>
    </w:p>
    <w:p w14:paraId="5004D9AE">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（1）科研能力评价（100分） </w:t>
      </w:r>
    </w:p>
    <w:p w14:paraId="692663C0">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科研能力评价主要考核外语表达能力、专业知识、创新能力、科研水平等方面。 </w:t>
      </w:r>
    </w:p>
    <w:p w14:paraId="45126876">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（2）科研潜质加分（40分） </w:t>
      </w:r>
    </w:p>
    <w:p w14:paraId="5812BB38">
      <w:pPr>
        <w:spacing w:line="600" w:lineRule="exact"/>
        <w:ind w:firstLine="640" w:firstLineChars="200"/>
        <w:jc w:val="left"/>
      </w:pPr>
      <w:r>
        <w:rPr>
          <w:rFonts w:hint="eastAsia" w:ascii="仿宋_GB2312" w:eastAsia="仿宋_GB2312" w:cs="仿宋_GB2312" w:hAnsiTheme="minorEastAsia"/>
          <w:sz w:val="32"/>
          <w:szCs w:val="32"/>
        </w:rPr>
        <w:t>科研潜质评价综合考量学生科研基本素养，主要包括科技竞赛、学术研究、科研训练、外语水平、国际交流等方面，具体加分内容见附件2。</w:t>
      </w:r>
    </w:p>
    <w:p w14:paraId="44688011">
      <w:pPr>
        <w:spacing w:line="600" w:lineRule="exact"/>
        <w:ind w:firstLine="640" w:firstLineChars="200"/>
        <w:rPr>
          <w:rFonts w:ascii="仿宋" w:hAnsi="仿宋" w:eastAsia="仿宋" w:cs="仿宋"/>
          <w:color w:val="000000"/>
          <w:sz w:val="32"/>
          <w:szCs w:val="32"/>
        </w:rPr>
      </w:pPr>
      <w:r>
        <w:rPr>
          <w:rFonts w:hint="eastAsia" w:ascii="仿宋_GB2312" w:eastAsia="仿宋_GB2312" w:cs="仿宋_GB2312" w:hAnsiTheme="minorEastAsia"/>
          <w:sz w:val="32"/>
          <w:szCs w:val="32"/>
        </w:rPr>
        <w:t>第三条  推免生遴选工作小组按照总成绩由高到低排名，并依据推荐指标数</w:t>
      </w:r>
      <w:r>
        <w:rPr>
          <w:rFonts w:hint="eastAsia" w:ascii="仿宋" w:hAnsi="仿宋" w:eastAsia="仿宋" w:cs="仿宋"/>
          <w:color w:val="000000"/>
          <w:sz w:val="32"/>
          <w:szCs w:val="32"/>
        </w:rPr>
        <w:t>确定推免生初选名单。初选名单需在本学院官方网站上公示不少于3个工作日。公示无异议后，将初选名单连同有关材料报送研究生院。</w:t>
      </w:r>
    </w:p>
    <w:p w14:paraId="650465A7">
      <w:pPr>
        <w:spacing w:line="600" w:lineRule="exact"/>
        <w:jc w:val="center"/>
        <w:rPr>
          <w:rFonts w:ascii="黑体" w:hAnsi="黑体" w:eastAsia="黑体" w:cs="仿宋_GB2312"/>
          <w:sz w:val="32"/>
          <w:szCs w:val="32"/>
        </w:rPr>
      </w:pPr>
    </w:p>
    <w:p w14:paraId="50F26AA5">
      <w:pPr>
        <w:spacing w:line="600" w:lineRule="exact"/>
        <w:jc w:val="center"/>
        <w:rPr>
          <w:rFonts w:ascii="仿宋" w:hAnsi="仿宋" w:eastAsia="仿宋" w:cs="仿宋"/>
          <w:color w:val="000000"/>
          <w:sz w:val="32"/>
          <w:szCs w:val="32"/>
        </w:rPr>
      </w:pPr>
      <w:r>
        <w:rPr>
          <w:rFonts w:hint="eastAsia" w:ascii="黑体" w:hAnsi="黑体" w:eastAsia="黑体" w:cs="仿宋_GB2312"/>
          <w:sz w:val="32"/>
          <w:szCs w:val="32"/>
        </w:rPr>
        <w:t>第三章 其他</w:t>
      </w:r>
    </w:p>
    <w:p w14:paraId="09BF5C62">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第四条  本细则未列事宜，由学院推免生遴选工作小组予以认定和解释。</w:t>
      </w:r>
    </w:p>
    <w:p w14:paraId="4DE33361">
      <w:pPr>
        <w:spacing w:line="600" w:lineRule="exact"/>
        <w:ind w:firstLine="640" w:firstLineChars="200"/>
        <w:rPr>
          <w:rFonts w:ascii="仿宋_GB2312" w:eastAsia="仿宋_GB2312" w:cs="仿宋_GB2312" w:hAnsiTheme="minorEastAsia"/>
          <w:sz w:val="32"/>
          <w:szCs w:val="32"/>
        </w:rPr>
      </w:pPr>
      <w:bookmarkStart w:id="0" w:name="_GoBack"/>
      <w:bookmarkEnd w:id="0"/>
    </w:p>
    <w:p w14:paraId="4C02425C">
      <w:pPr>
        <w:spacing w:line="600" w:lineRule="exact"/>
        <w:ind w:firstLine="640" w:firstLineChars="200"/>
        <w:rPr>
          <w:rFonts w:ascii="仿宋_GB2312" w:eastAsia="仿宋_GB2312" w:cs="仿宋_GB2312" w:hAnsiTheme="minorEastAsia"/>
          <w:sz w:val="32"/>
          <w:szCs w:val="32"/>
        </w:rPr>
      </w:pPr>
    </w:p>
    <w:p w14:paraId="76FAC3A5">
      <w:pPr>
        <w:spacing w:line="600" w:lineRule="exact"/>
        <w:ind w:firstLine="5120" w:firstLineChars="16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生命科学学院</w:t>
      </w:r>
    </w:p>
    <w:p w14:paraId="585825C5">
      <w:pPr>
        <w:spacing w:line="600" w:lineRule="exact"/>
        <w:ind w:firstLine="4800" w:firstLineChars="1500"/>
        <w:rPr>
          <w:rFonts w:ascii="仿宋_GB2312" w:eastAsia="仿宋_GB2312" w:cs="仿宋_GB2312" w:hAnsiTheme="minorEastAsia"/>
          <w:sz w:val="32"/>
          <w:szCs w:val="32"/>
        </w:rPr>
      </w:pPr>
      <w:r>
        <w:rPr>
          <w:rFonts w:ascii="仿宋_GB2312" w:eastAsia="仿宋_GB2312" w:cs="仿宋_GB2312" w:hAnsiTheme="minorEastAsia"/>
          <w:sz w:val="32"/>
          <w:szCs w:val="32"/>
        </w:rPr>
        <w:t>20</w:t>
      </w:r>
      <w:r>
        <w:rPr>
          <w:rFonts w:hint="eastAsia" w:ascii="仿宋_GB2312" w:eastAsia="仿宋_GB2312" w:cs="仿宋_GB2312" w:hAnsiTheme="minorEastAsia"/>
          <w:sz w:val="32"/>
          <w:szCs w:val="32"/>
        </w:rPr>
        <w:t>2</w:t>
      </w:r>
      <w:r>
        <w:rPr>
          <w:rFonts w:ascii="仿宋_GB2312" w:eastAsia="仿宋_GB2312" w:cs="仿宋_GB2312" w:hAnsiTheme="minorEastAsia"/>
          <w:sz w:val="32"/>
          <w:szCs w:val="32"/>
        </w:rPr>
        <w:t>6年</w:t>
      </w:r>
      <w:r>
        <w:rPr>
          <w:rFonts w:hint="eastAsia" w:ascii="仿宋_GB2312" w:eastAsia="仿宋_GB2312" w:cs="仿宋_GB2312" w:hAnsiTheme="minorEastAsia"/>
          <w:sz w:val="32"/>
          <w:szCs w:val="32"/>
        </w:rPr>
        <w:t>9</w:t>
      </w:r>
      <w:r>
        <w:rPr>
          <w:rFonts w:ascii="仿宋_GB2312" w:eastAsia="仿宋_GB2312" w:cs="仿宋_GB2312" w:hAnsiTheme="minorEastAsia"/>
          <w:sz w:val="32"/>
          <w:szCs w:val="32"/>
        </w:rPr>
        <w:t>月7日</w:t>
      </w:r>
    </w:p>
    <w:p w14:paraId="0553BF3F">
      <w:pPr>
        <w:widowControl/>
        <w:jc w:val="left"/>
        <w:rPr>
          <w:rFonts w:ascii="黑体" w:hAnsi="黑体" w:eastAsia="黑体" w:cs="黑体"/>
          <w:sz w:val="32"/>
          <w:szCs w:val="32"/>
        </w:rPr>
      </w:pPr>
      <w:r>
        <w:rPr>
          <w:rFonts w:ascii="黑体" w:hAnsi="黑体" w:eastAsia="黑体" w:cs="黑体"/>
          <w:sz w:val="32"/>
          <w:szCs w:val="32"/>
        </w:rPr>
        <w:br w:type="page"/>
      </w:r>
    </w:p>
    <w:p w14:paraId="419A916E">
      <w:pPr>
        <w:widowControl/>
        <w:snapToGrid w:val="0"/>
        <w:spacing w:before="156" w:beforeLines="50" w:after="156" w:afterLines="50" w:line="300" w:lineRule="auto"/>
        <w:jc w:val="left"/>
        <w:rPr>
          <w:rFonts w:ascii="黑体" w:hAnsi="黑体" w:eastAsia="黑体" w:cs="黑体"/>
          <w:sz w:val="32"/>
          <w:szCs w:val="32"/>
        </w:rPr>
      </w:pPr>
      <w:r>
        <w:rPr>
          <w:rFonts w:hint="eastAsia" w:ascii="黑体" w:hAnsi="黑体" w:eastAsia="黑体" w:cs="黑体"/>
          <w:sz w:val="32"/>
          <w:szCs w:val="32"/>
        </w:rPr>
        <w:t>附件1：</w:t>
      </w:r>
    </w:p>
    <w:p w14:paraId="418BF155">
      <w:pPr>
        <w:widowControl/>
        <w:snapToGrid w:val="0"/>
        <w:spacing w:before="156" w:beforeLines="50" w:after="156" w:afterLines="50" w:line="300" w:lineRule="auto"/>
        <w:jc w:val="center"/>
        <w:rPr>
          <w:rFonts w:ascii="仿宋" w:hAnsi="仿宋" w:eastAsia="仿宋" w:cs="仿宋"/>
          <w:b/>
          <w:bCs/>
          <w:sz w:val="32"/>
          <w:szCs w:val="32"/>
        </w:rPr>
      </w:pPr>
      <w:r>
        <w:rPr>
          <w:rFonts w:hint="eastAsia" w:ascii="仿宋_GB2312" w:eastAsia="仿宋_GB2312" w:cs="仿宋_GB2312" w:hAnsiTheme="minorEastAsia"/>
          <w:b/>
          <w:bCs/>
          <w:sz w:val="32"/>
          <w:szCs w:val="32"/>
        </w:rPr>
        <w:t>生物科学、生物技术、生物工程专业</w:t>
      </w:r>
      <w:r>
        <w:rPr>
          <w:rFonts w:hint="eastAsia" w:ascii="仿宋" w:hAnsi="仿宋" w:eastAsia="仿宋" w:cs="仿宋"/>
          <w:b/>
          <w:bCs/>
          <w:sz w:val="32"/>
          <w:szCs w:val="32"/>
        </w:rPr>
        <w:t>科研潜质加分细则</w:t>
      </w:r>
    </w:p>
    <w:tbl>
      <w:tblPr>
        <w:tblStyle w:val="6"/>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921"/>
        <w:gridCol w:w="4103"/>
      </w:tblGrid>
      <w:tr w14:paraId="1C81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jc w:val="center"/>
        </w:trPr>
        <w:tc>
          <w:tcPr>
            <w:tcW w:w="1271" w:type="dxa"/>
            <w:vAlign w:val="center"/>
          </w:tcPr>
          <w:p w14:paraId="30B6188E">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8024" w:type="dxa"/>
            <w:gridSpan w:val="2"/>
            <w:vAlign w:val="center"/>
          </w:tcPr>
          <w:p w14:paraId="54D8CEC9">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r>
      <w:tr w14:paraId="7626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1271" w:type="dxa"/>
            <w:vAlign w:val="center"/>
          </w:tcPr>
          <w:p w14:paraId="3AE0FFFB">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国际组织实习</w:t>
            </w:r>
          </w:p>
          <w:p w14:paraId="64C925EF">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（4分）</w:t>
            </w:r>
          </w:p>
        </w:tc>
        <w:tc>
          <w:tcPr>
            <w:tcW w:w="8024" w:type="dxa"/>
            <w:gridSpan w:val="2"/>
            <w:vAlign w:val="center"/>
          </w:tcPr>
          <w:p w14:paraId="13C1354B">
            <w:pPr>
              <w:widowControl/>
              <w:snapToGrid w:val="0"/>
              <w:ind w:firstLine="480" w:firstLineChars="20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在校期间申请到国际组织实习每次加1分，连续三个月以上境外访学每次加2分，累计加分不超过4分。</w:t>
            </w:r>
          </w:p>
        </w:tc>
      </w:tr>
      <w:tr w14:paraId="15E3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14:paraId="31C73DF5">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志愿服务</w:t>
            </w:r>
          </w:p>
          <w:p w14:paraId="43A0BB57">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（3分）</w:t>
            </w:r>
          </w:p>
        </w:tc>
        <w:tc>
          <w:tcPr>
            <w:tcW w:w="8024" w:type="dxa"/>
            <w:gridSpan w:val="2"/>
            <w:vAlign w:val="center"/>
          </w:tcPr>
          <w:p w14:paraId="083FE28F">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在校期间积极参与志愿者服务，每项加1分，同一类型项目不重复加分，累计加分不超过3分。</w:t>
            </w:r>
          </w:p>
        </w:tc>
      </w:tr>
      <w:tr w14:paraId="285B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14:paraId="487FE0E0">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参军入伍</w:t>
            </w:r>
          </w:p>
          <w:p w14:paraId="6CE2C36B">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526FDC1A">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在校期间积极响应国家应征入伍政策，有相应经历加5分。</w:t>
            </w:r>
          </w:p>
        </w:tc>
      </w:tr>
      <w:tr w14:paraId="583B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271" w:type="dxa"/>
            <w:vAlign w:val="center"/>
          </w:tcPr>
          <w:p w14:paraId="60B85654">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综合发展</w:t>
            </w:r>
          </w:p>
          <w:p w14:paraId="1AD4AD02">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6BFDED0E">
            <w:pPr>
              <w:widowControl/>
              <w:numPr>
                <w:ilvl w:val="0"/>
                <w:numId w:val="3"/>
              </w:numPr>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获得校级及以上党政部门颁发的优秀共产党员称号，按照国家级3分、省级2分、校级1分依次加分；</w:t>
            </w:r>
          </w:p>
          <w:p w14:paraId="077C2F4B">
            <w:pPr>
              <w:widowControl/>
              <w:numPr>
                <w:ilvl w:val="0"/>
                <w:numId w:val="3"/>
              </w:numPr>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获得校级及以上党政部门颁发的优秀团员或者优秀学生（团）干部，按照国家级3分、省级2分、校级1分依次加分；</w:t>
            </w:r>
          </w:p>
          <w:p w14:paraId="422F17CE">
            <w:pPr>
              <w:widowControl/>
              <w:numPr>
                <w:ilvl w:val="0"/>
                <w:numId w:val="3"/>
              </w:numPr>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获得校级及以上社会实践先进个人（标兵）、优秀志愿者荣誉称号，按照国家级3分、省级2分、校级1分依次加分。</w:t>
            </w:r>
          </w:p>
          <w:p w14:paraId="23B0FF39">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所获荣誉经学院推免生遴选工作小组认定，即可加分。以上荣誉同一类型不重复加分，按最高成绩计算。累计加分不超过5分。</w:t>
            </w:r>
          </w:p>
        </w:tc>
      </w:tr>
      <w:tr w14:paraId="2459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exact"/>
          <w:jc w:val="center"/>
        </w:trPr>
        <w:tc>
          <w:tcPr>
            <w:tcW w:w="1271" w:type="dxa"/>
            <w:vMerge w:val="restart"/>
            <w:vAlign w:val="center"/>
          </w:tcPr>
          <w:p w14:paraId="0D5FCC8F">
            <w:pPr>
              <w:widowControl/>
              <w:snapToGrid w:val="0"/>
              <w:jc w:val="center"/>
              <w:rPr>
                <w:rFonts w:asciiTheme="minorEastAsia" w:hAnsiTheme="minorEastAsia" w:eastAsiaTheme="minorEastAsia" w:cstheme="minorEastAsia"/>
                <w:sz w:val="24"/>
              </w:rPr>
            </w:pPr>
          </w:p>
          <w:p w14:paraId="2F373EA0">
            <w:pPr>
              <w:widowControl/>
              <w:snapToGrid w:val="0"/>
              <w:jc w:val="center"/>
              <w:rPr>
                <w:rFonts w:asciiTheme="minorEastAsia" w:hAnsiTheme="minorEastAsia" w:eastAsiaTheme="minorEastAsia" w:cstheme="minorEastAsia"/>
                <w:sz w:val="24"/>
              </w:rPr>
            </w:pPr>
          </w:p>
          <w:p w14:paraId="756A4E33">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p w14:paraId="0A46DEB6">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p w14:paraId="5BDA9A0C">
            <w:pPr>
              <w:widowControl/>
              <w:snapToGrid w:val="0"/>
              <w:rPr>
                <w:rFonts w:asciiTheme="minorEastAsia" w:hAnsiTheme="minorEastAsia" w:eastAsiaTheme="minorEastAsia" w:cstheme="minorEastAsia"/>
                <w:sz w:val="24"/>
              </w:rPr>
            </w:pPr>
          </w:p>
        </w:tc>
        <w:tc>
          <w:tcPr>
            <w:tcW w:w="3921" w:type="dxa"/>
            <w:vMerge w:val="restart"/>
            <w:vAlign w:val="center"/>
          </w:tcPr>
          <w:p w14:paraId="6C54A575">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外语水平认定经学院推免生遴选工作小组认定，即可加分。三种类型不累计加分，按分数最高一类计算。</w:t>
            </w:r>
          </w:p>
        </w:tc>
        <w:tc>
          <w:tcPr>
            <w:tcW w:w="4103" w:type="dxa"/>
            <w:vAlign w:val="center"/>
          </w:tcPr>
          <w:p w14:paraId="065C7750">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全国英语六级考试成绩在425分到479分加2分；480分到499分加3分；500分到549分加4分；550分到599分加5分；600分到649分加8分；650分以上者加10分。</w:t>
            </w:r>
          </w:p>
        </w:tc>
      </w:tr>
      <w:tr w14:paraId="5238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exact"/>
          <w:jc w:val="center"/>
        </w:trPr>
        <w:tc>
          <w:tcPr>
            <w:tcW w:w="1271" w:type="dxa"/>
            <w:vMerge w:val="continue"/>
            <w:vAlign w:val="center"/>
          </w:tcPr>
          <w:p w14:paraId="288B605C">
            <w:pPr>
              <w:widowControl/>
              <w:snapToGrid w:val="0"/>
              <w:jc w:val="center"/>
              <w:rPr>
                <w:rFonts w:asciiTheme="minorEastAsia" w:hAnsiTheme="minorEastAsia" w:eastAsiaTheme="minorEastAsia" w:cstheme="minorEastAsia"/>
                <w:sz w:val="24"/>
              </w:rPr>
            </w:pPr>
          </w:p>
        </w:tc>
        <w:tc>
          <w:tcPr>
            <w:tcW w:w="3921" w:type="dxa"/>
            <w:vMerge w:val="continue"/>
            <w:vAlign w:val="center"/>
          </w:tcPr>
          <w:p w14:paraId="05FC678B">
            <w:pPr>
              <w:widowControl/>
              <w:snapToGrid w:val="0"/>
              <w:ind w:firstLine="480" w:firstLineChars="200"/>
              <w:rPr>
                <w:rFonts w:asciiTheme="minorEastAsia" w:hAnsiTheme="minorEastAsia" w:eastAsiaTheme="minorEastAsia" w:cstheme="minorEastAsia"/>
                <w:sz w:val="24"/>
              </w:rPr>
            </w:pPr>
          </w:p>
        </w:tc>
        <w:tc>
          <w:tcPr>
            <w:tcW w:w="4103" w:type="dxa"/>
            <w:vAlign w:val="center"/>
          </w:tcPr>
          <w:p w14:paraId="3F1CE2DD">
            <w:pPr>
              <w:widowControl/>
              <w:snapToGrid w:val="0"/>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加2分，7.0及以上者加3分；托福成绩（有效期两年内）90分及以上100分以下加2分，100分及以上加3分；GRE（有效期两年内）310分及以上加2分，320分及以上加3分。二者不重复加分，按最高成绩计算。</w:t>
            </w:r>
          </w:p>
        </w:tc>
      </w:tr>
      <w:tr w14:paraId="1DF3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exact"/>
          <w:jc w:val="center"/>
        </w:trPr>
        <w:tc>
          <w:tcPr>
            <w:tcW w:w="1271" w:type="dxa"/>
            <w:vMerge w:val="continue"/>
            <w:vAlign w:val="center"/>
          </w:tcPr>
          <w:p w14:paraId="4A9538E3">
            <w:pPr>
              <w:widowControl/>
              <w:snapToGrid w:val="0"/>
              <w:jc w:val="center"/>
              <w:rPr>
                <w:rFonts w:asciiTheme="minorEastAsia" w:hAnsiTheme="minorEastAsia" w:eastAsiaTheme="minorEastAsia" w:cstheme="minorEastAsia"/>
                <w:sz w:val="24"/>
              </w:rPr>
            </w:pPr>
          </w:p>
        </w:tc>
        <w:tc>
          <w:tcPr>
            <w:tcW w:w="3921" w:type="dxa"/>
            <w:vMerge w:val="continue"/>
            <w:vAlign w:val="center"/>
          </w:tcPr>
          <w:p w14:paraId="59B426DE">
            <w:pPr>
              <w:widowControl/>
              <w:snapToGrid w:val="0"/>
              <w:ind w:firstLine="480" w:firstLineChars="200"/>
              <w:jc w:val="left"/>
              <w:rPr>
                <w:rFonts w:asciiTheme="minorEastAsia" w:hAnsiTheme="minorEastAsia" w:eastAsiaTheme="minorEastAsia" w:cstheme="minorEastAsia"/>
                <w:sz w:val="24"/>
              </w:rPr>
            </w:pPr>
          </w:p>
        </w:tc>
        <w:tc>
          <w:tcPr>
            <w:tcW w:w="4103" w:type="dxa"/>
            <w:vAlign w:val="center"/>
          </w:tcPr>
          <w:p w14:paraId="6F43FAA5">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选修全英文课程且无挂科，每门加0.5分；获得90分及以上每门再加1分，获得80-89分每门再加0.5分。选修暑期全英文课程并获得学分，每门加0.5分。累计加分不超过5分。</w:t>
            </w:r>
          </w:p>
        </w:tc>
      </w:tr>
      <w:tr w14:paraId="096B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1271" w:type="dxa"/>
            <w:vAlign w:val="center"/>
          </w:tcPr>
          <w:p w14:paraId="2400B16E">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p w14:paraId="49A3983C">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8024" w:type="dxa"/>
            <w:gridSpan w:val="2"/>
            <w:vAlign w:val="center"/>
          </w:tcPr>
          <w:p w14:paraId="24141662">
            <w:pPr>
              <w:widowControl/>
              <w:snapToGrid w:val="0"/>
              <w:ind w:firstLine="480" w:firstLineChars="200"/>
              <w:jc w:val="left"/>
              <w:rPr>
                <w:sz w:val="24"/>
              </w:rPr>
            </w:pPr>
            <w:r>
              <w:rPr>
                <w:sz w:val="24"/>
              </w:rPr>
              <w:t>在国家级学术科技竞赛（具体项目见《西北农林科技大学国家级学科竞赛目录</w:t>
            </w:r>
            <w:r>
              <w:rPr>
                <w:rFonts w:hint="eastAsia"/>
                <w:sz w:val="24"/>
              </w:rPr>
              <w:t>》</w:t>
            </w:r>
            <w:r>
              <w:rPr>
                <w:sz w:val="24"/>
              </w:rPr>
              <w:t>）中，A类学科竞赛获得国家级</w:t>
            </w:r>
            <w:r>
              <w:rPr>
                <w:rFonts w:hint="eastAsia"/>
                <w:sz w:val="24"/>
              </w:rPr>
              <w:t>特等奖、</w:t>
            </w:r>
            <w:r>
              <w:rPr>
                <w:sz w:val="24"/>
              </w:rPr>
              <w:t>一等</w:t>
            </w:r>
            <w:r>
              <w:rPr>
                <w:rFonts w:hint="eastAsia"/>
                <w:sz w:val="24"/>
              </w:rPr>
              <w:t>奖</w:t>
            </w:r>
            <w:r>
              <w:rPr>
                <w:sz w:val="24"/>
              </w:rPr>
              <w:t>（金奖）、二等</w:t>
            </w:r>
            <w:r>
              <w:rPr>
                <w:rFonts w:hint="eastAsia"/>
                <w:sz w:val="24"/>
              </w:rPr>
              <w:t>奖</w:t>
            </w:r>
            <w:r>
              <w:rPr>
                <w:sz w:val="24"/>
              </w:rPr>
              <w:t>（银奖）和三等奖（铜奖），分别加5、4</w:t>
            </w:r>
            <w:r>
              <w:rPr>
                <w:rFonts w:hint="eastAsia"/>
                <w:sz w:val="24"/>
              </w:rPr>
              <w:t>、</w:t>
            </w:r>
            <w:r>
              <w:rPr>
                <w:sz w:val="24"/>
              </w:rPr>
              <w:t>3</w:t>
            </w:r>
            <w:r>
              <w:rPr>
                <w:rFonts w:hint="eastAsia"/>
                <w:sz w:val="24"/>
              </w:rPr>
              <w:t>和</w:t>
            </w:r>
            <w:r>
              <w:rPr>
                <w:sz w:val="24"/>
              </w:rPr>
              <w:t>2</w:t>
            </w:r>
            <w:r>
              <w:rPr>
                <w:rFonts w:hint="eastAsia"/>
                <w:sz w:val="24"/>
              </w:rPr>
              <w:t>分；</w:t>
            </w:r>
            <w:r>
              <w:rPr>
                <w:sz w:val="24"/>
              </w:rPr>
              <w:t>B类学科竞赛获得国家级</w:t>
            </w:r>
            <w:r>
              <w:rPr>
                <w:rFonts w:hint="eastAsia"/>
                <w:sz w:val="24"/>
              </w:rPr>
              <w:t>特等奖、</w:t>
            </w:r>
            <w:r>
              <w:rPr>
                <w:sz w:val="24"/>
              </w:rPr>
              <w:t>一等</w:t>
            </w:r>
            <w:r>
              <w:rPr>
                <w:rFonts w:hint="eastAsia"/>
                <w:sz w:val="24"/>
              </w:rPr>
              <w:t>奖</w:t>
            </w:r>
            <w:r>
              <w:rPr>
                <w:sz w:val="24"/>
              </w:rPr>
              <w:t>（金奖）、二等</w:t>
            </w:r>
            <w:r>
              <w:rPr>
                <w:rFonts w:hint="eastAsia"/>
                <w:sz w:val="24"/>
              </w:rPr>
              <w:t>奖</w:t>
            </w:r>
            <w:r>
              <w:rPr>
                <w:sz w:val="24"/>
              </w:rPr>
              <w:t>（银奖）和三等奖（铜奖），分别加4、3</w:t>
            </w:r>
            <w:r>
              <w:rPr>
                <w:rFonts w:hint="eastAsia"/>
                <w:sz w:val="24"/>
              </w:rPr>
              <w:t>、</w:t>
            </w:r>
            <w:r>
              <w:rPr>
                <w:sz w:val="24"/>
              </w:rPr>
              <w:t>2</w:t>
            </w:r>
            <w:r>
              <w:rPr>
                <w:rFonts w:hint="eastAsia"/>
                <w:sz w:val="24"/>
              </w:rPr>
              <w:t>和</w:t>
            </w:r>
            <w:r>
              <w:rPr>
                <w:sz w:val="24"/>
              </w:rPr>
              <w:t>1</w:t>
            </w:r>
            <w:r>
              <w:rPr>
                <w:rFonts w:hint="eastAsia"/>
                <w:sz w:val="24"/>
              </w:rPr>
              <w:t>分；</w:t>
            </w:r>
            <w:r>
              <w:rPr>
                <w:sz w:val="24"/>
              </w:rPr>
              <w:t>C类学科竞赛获得国家级</w:t>
            </w:r>
            <w:r>
              <w:rPr>
                <w:rFonts w:hint="eastAsia"/>
                <w:sz w:val="24"/>
              </w:rPr>
              <w:t>特等奖、</w:t>
            </w:r>
            <w:r>
              <w:rPr>
                <w:sz w:val="24"/>
              </w:rPr>
              <w:t>一等</w:t>
            </w:r>
            <w:r>
              <w:rPr>
                <w:rFonts w:hint="eastAsia"/>
                <w:sz w:val="24"/>
              </w:rPr>
              <w:t>奖</w:t>
            </w:r>
            <w:r>
              <w:rPr>
                <w:sz w:val="24"/>
              </w:rPr>
              <w:t>（金奖）</w:t>
            </w:r>
            <w:r>
              <w:rPr>
                <w:rFonts w:hint="eastAsia"/>
                <w:sz w:val="24"/>
              </w:rPr>
              <w:t>和</w:t>
            </w:r>
            <w:r>
              <w:rPr>
                <w:sz w:val="24"/>
              </w:rPr>
              <w:t>二等</w:t>
            </w:r>
            <w:r>
              <w:rPr>
                <w:rFonts w:hint="eastAsia"/>
                <w:sz w:val="24"/>
              </w:rPr>
              <w:t>奖</w:t>
            </w:r>
            <w:r>
              <w:rPr>
                <w:sz w:val="24"/>
              </w:rPr>
              <w:t>（银奖），分别加3、2</w:t>
            </w:r>
            <w:r>
              <w:rPr>
                <w:rFonts w:hint="eastAsia"/>
                <w:sz w:val="24"/>
              </w:rPr>
              <w:t>和1分。</w:t>
            </w:r>
          </w:p>
          <w:p w14:paraId="31AB6640">
            <w:pPr>
              <w:widowControl/>
              <w:snapToGrid w:val="0"/>
              <w:ind w:firstLine="480" w:firstLineChars="200"/>
              <w:jc w:val="left"/>
              <w:rPr>
                <w:sz w:val="24"/>
              </w:rPr>
            </w:pPr>
            <w:r>
              <w:rPr>
                <w:rFonts w:hint="eastAsia"/>
                <w:sz w:val="24"/>
              </w:rPr>
              <w:t>A</w:t>
            </w:r>
            <w:r>
              <w:rPr>
                <w:sz w:val="24"/>
              </w:rPr>
              <w:t>类学科竞赛获省级特等、一等（金奖）、二等（银奖）和三等奖（铜奖），分别加3、2、</w:t>
            </w:r>
            <w:r>
              <w:rPr>
                <w:rFonts w:hint="eastAsia"/>
                <w:sz w:val="24"/>
              </w:rPr>
              <w:t>1</w:t>
            </w:r>
            <w:r>
              <w:rPr>
                <w:sz w:val="24"/>
              </w:rPr>
              <w:t>和</w:t>
            </w:r>
            <w:r>
              <w:rPr>
                <w:rFonts w:hint="eastAsia"/>
                <w:sz w:val="24"/>
              </w:rPr>
              <w:t>0</w:t>
            </w:r>
            <w:r>
              <w:rPr>
                <w:sz w:val="24"/>
              </w:rPr>
              <w:t>.5分</w:t>
            </w:r>
            <w:r>
              <w:rPr>
                <w:rFonts w:hint="eastAsia"/>
                <w:sz w:val="24"/>
              </w:rPr>
              <w:t>；B</w:t>
            </w:r>
            <w:r>
              <w:rPr>
                <w:sz w:val="24"/>
              </w:rPr>
              <w:t>类学科竞赛获省级特等、一等（金奖）</w:t>
            </w:r>
            <w:r>
              <w:rPr>
                <w:rFonts w:hint="eastAsia"/>
                <w:sz w:val="24"/>
              </w:rPr>
              <w:t>和</w:t>
            </w:r>
            <w:r>
              <w:rPr>
                <w:sz w:val="24"/>
              </w:rPr>
              <w:t>二等（银奖）分别加2</w:t>
            </w:r>
            <w:r>
              <w:rPr>
                <w:rFonts w:hint="eastAsia"/>
                <w:sz w:val="24"/>
              </w:rPr>
              <w:t xml:space="preserve"> 、1和0</w:t>
            </w:r>
            <w:r>
              <w:rPr>
                <w:sz w:val="24"/>
              </w:rPr>
              <w:t>.5</w:t>
            </w:r>
            <w:r>
              <w:rPr>
                <w:rFonts w:hint="eastAsia"/>
                <w:sz w:val="24"/>
              </w:rPr>
              <w:t>分。</w:t>
            </w:r>
          </w:p>
          <w:p w14:paraId="177E6504">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团体项目获奖且获奖者排名分先后的，项目负责人按满分计算，参与人员的第一至五位分别按百分比5</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、4</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、3</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、2</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和1</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计算；获奖者排名不分先后的，所有人员按照满分的50%计算。A类学科竞赛计算前五名参与者，B、C类学科竞赛计算前三名参与者。</w:t>
            </w:r>
          </w:p>
          <w:p w14:paraId="66F61408">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同一类型或项目不重复加分，累计加分不超过10分。</w:t>
            </w:r>
          </w:p>
        </w:tc>
      </w:tr>
      <w:tr w14:paraId="706B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1271" w:type="dxa"/>
            <w:vAlign w:val="center"/>
          </w:tcPr>
          <w:p w14:paraId="7727A87C">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p w14:paraId="47778D11">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8024" w:type="dxa"/>
            <w:gridSpan w:val="2"/>
            <w:vAlign w:val="center"/>
          </w:tcPr>
          <w:p w14:paraId="506B8DEE">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参加过学院“启航计划”科研训练者加0.5分；</w:t>
            </w:r>
          </w:p>
          <w:p w14:paraId="4930CB9C">
            <w:pPr>
              <w:widowControl/>
              <w:snapToGrid w:val="0"/>
              <w:ind w:firstLine="480" w:firstLineChars="200"/>
              <w:jc w:val="left"/>
              <w:rPr>
                <w:rFonts w:asciiTheme="minorEastAsia" w:hAnsiTheme="minorEastAsia" w:eastAsiaTheme="minorEastAsia" w:cstheme="minorEastAsia"/>
                <w:sz w:val="24"/>
              </w:rPr>
            </w:pPr>
            <w:r>
              <w:rPr>
                <w:sz w:val="24"/>
              </w:rPr>
              <w:t>以主持人身份获批大学生创新创业训练计划项目</w:t>
            </w:r>
            <w:r>
              <w:rPr>
                <w:rFonts w:hint="eastAsia"/>
                <w:sz w:val="24"/>
              </w:rPr>
              <w:t>且结题</w:t>
            </w:r>
            <w:r>
              <w:rPr>
                <w:sz w:val="24"/>
              </w:rPr>
              <w:t>，国家级加3分（参与者加2分），省级加2分（参与者加1分），校级加1分（参与者加0.5分）；课题结题考核等级为优秀者，</w:t>
            </w:r>
            <w:r>
              <w:rPr>
                <w:rFonts w:hint="eastAsia" w:asciiTheme="minorEastAsia" w:hAnsiTheme="minorEastAsia" w:eastAsiaTheme="minorEastAsia" w:cstheme="minorEastAsia"/>
                <w:sz w:val="24"/>
              </w:rPr>
              <w:t>额外加</w:t>
            </w:r>
            <w:r>
              <w:rPr>
                <w:rFonts w:asciiTheme="minorEastAsia" w:hAnsiTheme="minorEastAsia" w:eastAsiaTheme="minorEastAsia" w:cstheme="minorEastAsia"/>
                <w:sz w:val="24"/>
              </w:rPr>
              <w:t>2</w:t>
            </w:r>
            <w:r>
              <w:rPr>
                <w:rFonts w:hint="eastAsia" w:asciiTheme="minorEastAsia" w:hAnsiTheme="minorEastAsia" w:eastAsiaTheme="minorEastAsia" w:cstheme="minorEastAsia"/>
                <w:sz w:val="24"/>
              </w:rPr>
              <w:t>分</w:t>
            </w:r>
            <w:r>
              <w:rPr>
                <w:sz w:val="24"/>
              </w:rPr>
              <w:t>，同一类型</w:t>
            </w:r>
            <w:r>
              <w:rPr>
                <w:rFonts w:hint="eastAsia"/>
                <w:sz w:val="24"/>
              </w:rPr>
              <w:t>或</w:t>
            </w:r>
            <w:r>
              <w:rPr>
                <w:sz w:val="24"/>
              </w:rPr>
              <w:t>项目不累计加分；</w:t>
            </w:r>
          </w:p>
          <w:p w14:paraId="70000BF1">
            <w:pPr>
              <w:widowControl/>
              <w:snapToGrid w:val="0"/>
              <w:ind w:firstLine="480" w:firstLineChars="200"/>
              <w:jc w:val="left"/>
              <w:rPr>
                <w:sz w:val="24"/>
              </w:rPr>
            </w:pPr>
            <w:r>
              <w:rPr>
                <w:sz w:val="24"/>
              </w:rPr>
              <w:t>文章署名第一单位为西北农林科技大学</w:t>
            </w:r>
            <w:r>
              <w:rPr>
                <w:rFonts w:hint="eastAsia"/>
                <w:sz w:val="24"/>
              </w:rPr>
              <w:t>生命科学学院</w:t>
            </w:r>
            <w:r>
              <w:rPr>
                <w:sz w:val="24"/>
              </w:rPr>
              <w:t>，在SCI期刊上发表</w:t>
            </w:r>
            <w:r>
              <w:rPr>
                <w:rFonts w:hint="eastAsia"/>
                <w:sz w:val="24"/>
              </w:rPr>
              <w:t>生物学科研究</w:t>
            </w:r>
            <w:r>
              <w:rPr>
                <w:sz w:val="24"/>
              </w:rPr>
              <w:t>论文</w:t>
            </w:r>
            <w:r>
              <w:rPr>
                <w:rFonts w:hint="eastAsia"/>
                <w:sz w:val="24"/>
              </w:rPr>
              <w:t>并提供真实的科研记录和原始数据</w:t>
            </w:r>
            <w:r>
              <w:rPr>
                <w:sz w:val="24"/>
              </w:rPr>
              <w:t>，</w:t>
            </w:r>
            <w:r>
              <w:rPr>
                <w:rFonts w:hint="eastAsia"/>
                <w:sz w:val="24"/>
              </w:rPr>
              <w:t>中科院大类</w:t>
            </w:r>
            <w:r>
              <w:rPr>
                <w:sz w:val="24"/>
              </w:rPr>
              <w:t>1</w:t>
            </w:r>
            <w:r>
              <w:rPr>
                <w:rFonts w:hint="eastAsia"/>
                <w:sz w:val="24"/>
              </w:rPr>
              <w:t>区及以上的</w:t>
            </w:r>
            <w:r>
              <w:rPr>
                <w:sz w:val="24"/>
              </w:rPr>
              <w:t>第一</w:t>
            </w:r>
            <w:r>
              <w:rPr>
                <w:rFonts w:hint="eastAsia"/>
                <w:sz w:val="24"/>
              </w:rPr>
              <w:t>作者、第二作者和第三作者</w:t>
            </w:r>
            <w:r>
              <w:rPr>
                <w:sz w:val="24"/>
              </w:rPr>
              <w:t>每篇分别加5</w:t>
            </w:r>
            <w:r>
              <w:rPr>
                <w:rFonts w:hint="eastAsia"/>
                <w:sz w:val="24"/>
              </w:rPr>
              <w:t>、3、</w:t>
            </w:r>
            <w:r>
              <w:rPr>
                <w:sz w:val="24"/>
              </w:rPr>
              <w:t>2分</w:t>
            </w:r>
            <w:r>
              <w:rPr>
                <w:rFonts w:hint="eastAsia"/>
                <w:sz w:val="24"/>
              </w:rPr>
              <w:t>；中科院大类</w:t>
            </w:r>
            <w:r>
              <w:rPr>
                <w:sz w:val="24"/>
              </w:rPr>
              <w:t>2</w:t>
            </w:r>
            <w:r>
              <w:rPr>
                <w:rFonts w:hint="eastAsia"/>
                <w:sz w:val="24"/>
              </w:rPr>
              <w:t>区的</w:t>
            </w:r>
            <w:r>
              <w:rPr>
                <w:sz w:val="24"/>
              </w:rPr>
              <w:t>第一</w:t>
            </w:r>
            <w:r>
              <w:rPr>
                <w:rFonts w:hint="eastAsia"/>
                <w:sz w:val="24"/>
              </w:rPr>
              <w:t>作者、第二作者和第三作者</w:t>
            </w:r>
            <w:r>
              <w:rPr>
                <w:sz w:val="24"/>
              </w:rPr>
              <w:t>每篇分别加4</w:t>
            </w:r>
            <w:r>
              <w:rPr>
                <w:rFonts w:hint="eastAsia"/>
                <w:sz w:val="24"/>
              </w:rPr>
              <w:t>、</w:t>
            </w:r>
            <w:r>
              <w:rPr>
                <w:sz w:val="24"/>
              </w:rPr>
              <w:t>2</w:t>
            </w:r>
            <w:r>
              <w:rPr>
                <w:rFonts w:hint="eastAsia"/>
                <w:sz w:val="24"/>
              </w:rPr>
              <w:t>、</w:t>
            </w:r>
            <w:r>
              <w:rPr>
                <w:sz w:val="24"/>
              </w:rPr>
              <w:t>1分</w:t>
            </w:r>
            <w:r>
              <w:rPr>
                <w:rFonts w:hint="eastAsia"/>
                <w:sz w:val="24"/>
              </w:rPr>
              <w:t>；其它S</w:t>
            </w:r>
            <w:r>
              <w:rPr>
                <w:sz w:val="24"/>
              </w:rPr>
              <w:t>CI</w:t>
            </w:r>
            <w:r>
              <w:rPr>
                <w:rFonts w:hint="eastAsia"/>
                <w:sz w:val="24"/>
              </w:rPr>
              <w:t>论文的</w:t>
            </w:r>
            <w:r>
              <w:rPr>
                <w:sz w:val="24"/>
              </w:rPr>
              <w:t>第一作者</w:t>
            </w:r>
            <w:r>
              <w:rPr>
                <w:rFonts w:hint="eastAsia"/>
                <w:sz w:val="24"/>
              </w:rPr>
              <w:t>和第二作者每篇分别加</w:t>
            </w:r>
            <w:r>
              <w:rPr>
                <w:sz w:val="24"/>
              </w:rPr>
              <w:t>2</w:t>
            </w:r>
            <w:r>
              <w:rPr>
                <w:rFonts w:hint="eastAsia"/>
                <w:sz w:val="24"/>
              </w:rPr>
              <w:t>和1分；</w:t>
            </w:r>
            <w:r>
              <w:rPr>
                <w:sz w:val="24"/>
              </w:rPr>
              <w:t>在EI或中文核心期刊上发表</w:t>
            </w:r>
            <w:r>
              <w:rPr>
                <w:rFonts w:hint="eastAsia"/>
                <w:sz w:val="24"/>
              </w:rPr>
              <w:t>研究</w:t>
            </w:r>
            <w:r>
              <w:rPr>
                <w:sz w:val="24"/>
              </w:rPr>
              <w:t>论文</w:t>
            </w:r>
            <w:r>
              <w:rPr>
                <w:rFonts w:hint="eastAsia"/>
                <w:sz w:val="24"/>
              </w:rPr>
              <w:t>的</w:t>
            </w:r>
            <w:r>
              <w:rPr>
                <w:sz w:val="24"/>
              </w:rPr>
              <w:t>第一作者每篇加</w:t>
            </w:r>
            <w:r>
              <w:rPr>
                <w:rFonts w:hint="eastAsia"/>
                <w:sz w:val="24"/>
              </w:rPr>
              <w:t>1分。</w:t>
            </w:r>
            <w:r>
              <w:rPr>
                <w:sz w:val="24"/>
              </w:rPr>
              <w:t>共同第一作者</w:t>
            </w:r>
            <w:r>
              <w:rPr>
                <w:rFonts w:hint="eastAsia"/>
                <w:sz w:val="24"/>
              </w:rPr>
              <w:t>按第二作计，其余以此类推。</w:t>
            </w:r>
          </w:p>
          <w:p w14:paraId="4CD70872">
            <w:pPr>
              <w:widowControl/>
              <w:snapToGrid w:val="0"/>
              <w:ind w:firstLine="480" w:firstLineChars="200"/>
              <w:jc w:val="left"/>
              <w:rPr>
                <w:rFonts w:asciiTheme="minorEastAsia" w:hAnsiTheme="minorEastAsia" w:eastAsiaTheme="minorEastAsia" w:cstheme="minorEastAsia"/>
                <w:sz w:val="24"/>
              </w:rPr>
            </w:pPr>
            <w:r>
              <w:rPr>
                <w:sz w:val="24"/>
              </w:rPr>
              <w:t>累计加分不超过</w:t>
            </w:r>
            <w:r>
              <w:rPr>
                <w:rFonts w:hint="eastAsia"/>
                <w:sz w:val="24"/>
              </w:rPr>
              <w:t>10</w:t>
            </w:r>
            <w:r>
              <w:rPr>
                <w:sz w:val="24"/>
              </w:rPr>
              <w:t>分。</w:t>
            </w:r>
            <w:r>
              <w:rPr>
                <w:rFonts w:hint="eastAsia"/>
                <w:sz w:val="24"/>
              </w:rPr>
              <w:t>无真实科研记录和原始数据的不加分</w:t>
            </w:r>
            <w:r>
              <w:rPr>
                <w:rFonts w:hint="eastAsia" w:asciiTheme="minorEastAsia" w:hAnsiTheme="minorEastAsia" w:eastAsiaTheme="minorEastAsia" w:cstheme="minorEastAsia"/>
                <w:sz w:val="24"/>
              </w:rPr>
              <w:t>。</w:t>
            </w:r>
          </w:p>
        </w:tc>
      </w:tr>
      <w:tr w14:paraId="3E1C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1" w:type="dxa"/>
            <w:vAlign w:val="center"/>
          </w:tcPr>
          <w:p w14:paraId="77698509">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p w14:paraId="2621AC92">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（3分）</w:t>
            </w:r>
          </w:p>
        </w:tc>
        <w:tc>
          <w:tcPr>
            <w:tcW w:w="8024" w:type="dxa"/>
            <w:gridSpan w:val="2"/>
            <w:vAlign w:val="center"/>
          </w:tcPr>
          <w:p w14:paraId="74E63214">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以第一完成人申请并获国家授权发明专利，正式获批科技发明专利每项加1分。累计加分不超过3分。</w:t>
            </w:r>
          </w:p>
        </w:tc>
      </w:tr>
    </w:tbl>
    <w:p w14:paraId="5A5E47AE">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14:paraId="6DF0C8C2">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14:paraId="49529F8E">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14:paraId="01BFE5C7">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14:paraId="39DEB8F1">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4.所有加分项目以学生提供的证书、论文首页、论文接收函等原件为依据，照片、扫描件、传真件不作为加分依据，报名截止后，若审查发现支撑材料缺失，视为主动放弃推免资格。</w:t>
      </w:r>
    </w:p>
    <w:p w14:paraId="3069D17E">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5.科研加分累计不超过50分。</w:t>
      </w:r>
    </w:p>
    <w:p w14:paraId="66969461">
      <w:pPr>
        <w:pageBreakBefore/>
        <w:widowControl/>
        <w:snapToGrid w:val="0"/>
        <w:spacing w:before="156" w:beforeLines="50" w:after="156" w:afterLines="50" w:line="300" w:lineRule="auto"/>
        <w:jc w:val="left"/>
        <w:rPr>
          <w:rFonts w:ascii="仿宋" w:hAnsi="仿宋" w:eastAsia="仿宋" w:cs="仿宋"/>
          <w:b/>
          <w:bCs/>
          <w:color w:val="000000" w:themeColor="text1"/>
          <w:sz w:val="32"/>
          <w:szCs w:val="32"/>
          <w14:textFill>
            <w14:solidFill>
              <w14:schemeClr w14:val="tx1"/>
            </w14:solidFill>
          </w14:textFill>
        </w:rPr>
      </w:pPr>
      <w:r>
        <w:rPr>
          <w:rFonts w:hint="eastAsia" w:ascii="黑体" w:hAnsi="黑体" w:eastAsia="黑体" w:cs="黑体"/>
          <w:sz w:val="32"/>
          <w:szCs w:val="32"/>
        </w:rPr>
        <w:t xml:space="preserve">附件2：         </w:t>
      </w:r>
      <w:r>
        <w:rPr>
          <w:rFonts w:hint="eastAsia" w:ascii="仿宋" w:hAnsi="仿宋" w:eastAsia="仿宋" w:cs="仿宋"/>
          <w:b/>
          <w:bCs/>
          <w:sz w:val="32"/>
          <w:szCs w:val="32"/>
        </w:rPr>
        <w:t>生物科学基地班科研潜质加分细则</w:t>
      </w:r>
    </w:p>
    <w:tbl>
      <w:tblPr>
        <w:tblStyle w:val="6"/>
        <w:tblpPr w:leftFromText="180" w:rightFromText="180" w:vertAnchor="text" w:tblpXSpec="center" w:tblpY="1"/>
        <w:tblOverlap w:val="never"/>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024"/>
      </w:tblGrid>
      <w:tr w14:paraId="65C3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trPr>
        <w:tc>
          <w:tcPr>
            <w:tcW w:w="1271" w:type="dxa"/>
            <w:vAlign w:val="center"/>
          </w:tcPr>
          <w:p w14:paraId="39C743A0">
            <w:pPr>
              <w:widowControl/>
              <w:snapToGrid w:val="0"/>
              <w:jc w:val="center"/>
              <w:rPr>
                <w:b/>
                <w:bCs/>
                <w:sz w:val="24"/>
              </w:rPr>
            </w:pPr>
            <w:r>
              <w:rPr>
                <w:b/>
                <w:bCs/>
                <w:sz w:val="24"/>
              </w:rPr>
              <w:t>考核指标</w:t>
            </w:r>
          </w:p>
        </w:tc>
        <w:tc>
          <w:tcPr>
            <w:tcW w:w="8024" w:type="dxa"/>
            <w:vAlign w:val="center"/>
          </w:tcPr>
          <w:p w14:paraId="2C7A2AAA">
            <w:pPr>
              <w:widowControl/>
              <w:snapToGrid w:val="0"/>
              <w:jc w:val="center"/>
              <w:rPr>
                <w:b/>
                <w:bCs/>
                <w:sz w:val="24"/>
              </w:rPr>
            </w:pPr>
            <w:r>
              <w:rPr>
                <w:b/>
                <w:bCs/>
                <w:sz w:val="24"/>
              </w:rPr>
              <w:t>加分项目</w:t>
            </w:r>
          </w:p>
        </w:tc>
      </w:tr>
      <w:tr w14:paraId="4F18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exact"/>
          <w:tblHeader/>
        </w:trPr>
        <w:tc>
          <w:tcPr>
            <w:tcW w:w="1271" w:type="dxa"/>
            <w:vAlign w:val="center"/>
          </w:tcPr>
          <w:p w14:paraId="1BA7FC3F">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综合发展</w:t>
            </w:r>
          </w:p>
          <w:p w14:paraId="1684C99E">
            <w:pPr>
              <w:widowControl/>
              <w:snapToGrid w:val="0"/>
              <w:jc w:val="center"/>
              <w:rPr>
                <w:b/>
                <w:bCs/>
                <w:sz w:val="24"/>
              </w:rPr>
            </w:pPr>
            <w:r>
              <w:rPr>
                <w:rFonts w:hint="eastAsia" w:asciiTheme="minorEastAsia" w:hAnsiTheme="minorEastAsia" w:eastAsiaTheme="minorEastAsia" w:cstheme="minorEastAsia"/>
                <w:sz w:val="24"/>
              </w:rPr>
              <w:t>（5分）</w:t>
            </w:r>
          </w:p>
        </w:tc>
        <w:tc>
          <w:tcPr>
            <w:tcW w:w="8024" w:type="dxa"/>
            <w:vAlign w:val="center"/>
          </w:tcPr>
          <w:p w14:paraId="7F3765DF">
            <w:pPr>
              <w:widowControl/>
              <w:snapToGrid w:val="0"/>
              <w:ind w:left="38" w:leftChars="18"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获校级及以上党政部门颁发的优秀共产党员称号，按照国家级3分、省级2分、校级1分依次加分；</w:t>
            </w:r>
          </w:p>
          <w:p w14:paraId="0B4C140D">
            <w:pPr>
              <w:widowControl/>
              <w:snapToGrid w:val="0"/>
              <w:ind w:left="38" w:leftChars="18"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获校级及以上党政部门颁发的优秀团员或者优秀学生（团）干部，按照国家级3分、省级2分、校级1分依次加分；</w:t>
            </w:r>
          </w:p>
          <w:p w14:paraId="00A9E9E7">
            <w:pPr>
              <w:widowControl/>
              <w:snapToGrid w:val="0"/>
              <w:ind w:left="38" w:firstLine="424" w:firstLineChars="177"/>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获校级及以上社会实践先进个人（标兵）、优秀志愿者荣誉称号，按照国家级3分、省级2分、校级1分依次加分；</w:t>
            </w:r>
          </w:p>
          <w:p w14:paraId="117EF8B8">
            <w:pPr>
              <w:widowControl/>
              <w:snapToGrid w:val="0"/>
              <w:ind w:left="38" w:leftChars="18" w:firstLine="480" w:firstLineChars="200"/>
              <w:rPr>
                <w:b/>
                <w:bCs/>
                <w:sz w:val="24"/>
              </w:rPr>
            </w:pPr>
            <w:r>
              <w:rPr>
                <w:rFonts w:hint="eastAsia" w:asciiTheme="minorEastAsia" w:hAnsiTheme="minorEastAsia" w:eastAsiaTheme="minorEastAsia" w:cstheme="minorEastAsia"/>
                <w:sz w:val="24"/>
              </w:rPr>
              <w:t>同一类型不重复加分，按最高成绩计算。累计加分不超过5分。</w:t>
            </w:r>
          </w:p>
        </w:tc>
      </w:tr>
      <w:tr w14:paraId="6745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9" w:hRule="exact"/>
        </w:trPr>
        <w:tc>
          <w:tcPr>
            <w:tcW w:w="1271" w:type="dxa"/>
            <w:vAlign w:val="center"/>
          </w:tcPr>
          <w:p w14:paraId="774E7149">
            <w:pPr>
              <w:widowControl/>
              <w:snapToGrid w:val="0"/>
              <w:jc w:val="center"/>
              <w:rPr>
                <w:sz w:val="24"/>
              </w:rPr>
            </w:pPr>
          </w:p>
          <w:p w14:paraId="175CE5F9">
            <w:pPr>
              <w:widowControl/>
              <w:snapToGrid w:val="0"/>
              <w:jc w:val="center"/>
              <w:rPr>
                <w:sz w:val="24"/>
              </w:rPr>
            </w:pPr>
            <w:r>
              <w:rPr>
                <w:sz w:val="24"/>
              </w:rPr>
              <w:t>科技竞赛</w:t>
            </w:r>
          </w:p>
          <w:p w14:paraId="61EF3D06">
            <w:pPr>
              <w:widowControl/>
              <w:snapToGrid w:val="0"/>
              <w:jc w:val="center"/>
              <w:rPr>
                <w:sz w:val="24"/>
              </w:rPr>
            </w:pPr>
            <w:r>
              <w:rPr>
                <w:sz w:val="24"/>
              </w:rPr>
              <w:t>（8分）</w:t>
            </w:r>
          </w:p>
        </w:tc>
        <w:tc>
          <w:tcPr>
            <w:tcW w:w="8024" w:type="dxa"/>
            <w:vAlign w:val="center"/>
          </w:tcPr>
          <w:p w14:paraId="3204F888">
            <w:pPr>
              <w:widowControl/>
              <w:snapToGrid w:val="0"/>
              <w:ind w:firstLine="480" w:firstLineChars="200"/>
              <w:jc w:val="left"/>
              <w:rPr>
                <w:sz w:val="24"/>
              </w:rPr>
            </w:pPr>
            <w:r>
              <w:rPr>
                <w:sz w:val="24"/>
              </w:rPr>
              <w:t>在国家级学术科技竞赛（具体项目见《西北农林科技大学国家级学科竞赛目录</w:t>
            </w:r>
            <w:r>
              <w:rPr>
                <w:rFonts w:hint="eastAsia"/>
                <w:sz w:val="24"/>
              </w:rPr>
              <w:t>》</w:t>
            </w:r>
            <w:r>
              <w:rPr>
                <w:sz w:val="24"/>
              </w:rPr>
              <w:t>）中，A类学科竞赛获得国家级</w:t>
            </w:r>
            <w:r>
              <w:rPr>
                <w:rFonts w:hint="eastAsia"/>
                <w:sz w:val="24"/>
              </w:rPr>
              <w:t>特等奖、</w:t>
            </w:r>
            <w:r>
              <w:rPr>
                <w:sz w:val="24"/>
              </w:rPr>
              <w:t>一等</w:t>
            </w:r>
            <w:r>
              <w:rPr>
                <w:rFonts w:hint="eastAsia"/>
                <w:sz w:val="24"/>
              </w:rPr>
              <w:t>奖</w:t>
            </w:r>
            <w:r>
              <w:rPr>
                <w:sz w:val="24"/>
              </w:rPr>
              <w:t>（金奖）、二等</w:t>
            </w:r>
            <w:r>
              <w:rPr>
                <w:rFonts w:hint="eastAsia"/>
                <w:sz w:val="24"/>
              </w:rPr>
              <w:t>奖</w:t>
            </w:r>
            <w:r>
              <w:rPr>
                <w:sz w:val="24"/>
              </w:rPr>
              <w:t>（银奖）和三等奖（铜奖），分别加5、4</w:t>
            </w:r>
            <w:r>
              <w:rPr>
                <w:rFonts w:hint="eastAsia"/>
                <w:sz w:val="24"/>
              </w:rPr>
              <w:t>、</w:t>
            </w:r>
            <w:r>
              <w:rPr>
                <w:sz w:val="24"/>
              </w:rPr>
              <w:t>3</w:t>
            </w:r>
            <w:r>
              <w:rPr>
                <w:rFonts w:hint="eastAsia"/>
                <w:sz w:val="24"/>
              </w:rPr>
              <w:t>和</w:t>
            </w:r>
            <w:r>
              <w:rPr>
                <w:sz w:val="24"/>
              </w:rPr>
              <w:t>2</w:t>
            </w:r>
            <w:r>
              <w:rPr>
                <w:rFonts w:hint="eastAsia"/>
                <w:sz w:val="24"/>
              </w:rPr>
              <w:t>分；</w:t>
            </w:r>
            <w:r>
              <w:rPr>
                <w:sz w:val="24"/>
              </w:rPr>
              <w:t>B类学科竞赛获得国家级</w:t>
            </w:r>
            <w:r>
              <w:rPr>
                <w:rFonts w:hint="eastAsia"/>
                <w:sz w:val="24"/>
              </w:rPr>
              <w:t>特等奖、</w:t>
            </w:r>
            <w:r>
              <w:rPr>
                <w:sz w:val="24"/>
              </w:rPr>
              <w:t>一等</w:t>
            </w:r>
            <w:r>
              <w:rPr>
                <w:rFonts w:hint="eastAsia"/>
                <w:sz w:val="24"/>
              </w:rPr>
              <w:t>奖</w:t>
            </w:r>
            <w:r>
              <w:rPr>
                <w:sz w:val="24"/>
              </w:rPr>
              <w:t>（金奖）、二等</w:t>
            </w:r>
            <w:r>
              <w:rPr>
                <w:rFonts w:hint="eastAsia"/>
                <w:sz w:val="24"/>
              </w:rPr>
              <w:t>奖</w:t>
            </w:r>
            <w:r>
              <w:rPr>
                <w:sz w:val="24"/>
              </w:rPr>
              <w:t>（银奖）和三等奖（铜奖），分别加4、3</w:t>
            </w:r>
            <w:r>
              <w:rPr>
                <w:rFonts w:hint="eastAsia"/>
                <w:sz w:val="24"/>
              </w:rPr>
              <w:t>、</w:t>
            </w:r>
            <w:r>
              <w:rPr>
                <w:sz w:val="24"/>
              </w:rPr>
              <w:t>2</w:t>
            </w:r>
            <w:r>
              <w:rPr>
                <w:rFonts w:hint="eastAsia"/>
                <w:sz w:val="24"/>
              </w:rPr>
              <w:t>和</w:t>
            </w:r>
            <w:r>
              <w:rPr>
                <w:sz w:val="24"/>
              </w:rPr>
              <w:t>1</w:t>
            </w:r>
            <w:r>
              <w:rPr>
                <w:rFonts w:hint="eastAsia"/>
                <w:sz w:val="24"/>
              </w:rPr>
              <w:t>分；</w:t>
            </w:r>
            <w:r>
              <w:rPr>
                <w:sz w:val="24"/>
              </w:rPr>
              <w:t>C类学科竞赛获得国家级</w:t>
            </w:r>
            <w:r>
              <w:rPr>
                <w:rFonts w:hint="eastAsia"/>
                <w:sz w:val="24"/>
              </w:rPr>
              <w:t>特等奖、</w:t>
            </w:r>
            <w:r>
              <w:rPr>
                <w:sz w:val="24"/>
              </w:rPr>
              <w:t>一等</w:t>
            </w:r>
            <w:r>
              <w:rPr>
                <w:rFonts w:hint="eastAsia"/>
                <w:sz w:val="24"/>
              </w:rPr>
              <w:t>奖</w:t>
            </w:r>
            <w:r>
              <w:rPr>
                <w:sz w:val="24"/>
              </w:rPr>
              <w:t>（金奖）</w:t>
            </w:r>
            <w:r>
              <w:rPr>
                <w:rFonts w:hint="eastAsia"/>
                <w:sz w:val="24"/>
              </w:rPr>
              <w:t>和</w:t>
            </w:r>
            <w:r>
              <w:rPr>
                <w:sz w:val="24"/>
              </w:rPr>
              <w:t>二等</w:t>
            </w:r>
            <w:r>
              <w:rPr>
                <w:rFonts w:hint="eastAsia"/>
                <w:sz w:val="24"/>
              </w:rPr>
              <w:t>奖</w:t>
            </w:r>
            <w:r>
              <w:rPr>
                <w:sz w:val="24"/>
              </w:rPr>
              <w:t>（银奖），分别加3、2</w:t>
            </w:r>
            <w:r>
              <w:rPr>
                <w:rFonts w:hint="eastAsia"/>
                <w:sz w:val="24"/>
              </w:rPr>
              <w:t>和1分。</w:t>
            </w:r>
          </w:p>
          <w:p w14:paraId="03BF3BB9">
            <w:pPr>
              <w:widowControl/>
              <w:snapToGrid w:val="0"/>
              <w:ind w:firstLine="480" w:firstLineChars="200"/>
              <w:jc w:val="left"/>
              <w:rPr>
                <w:sz w:val="24"/>
              </w:rPr>
            </w:pPr>
            <w:r>
              <w:rPr>
                <w:rFonts w:hint="eastAsia"/>
                <w:sz w:val="24"/>
              </w:rPr>
              <w:t>A</w:t>
            </w:r>
            <w:r>
              <w:rPr>
                <w:sz w:val="24"/>
              </w:rPr>
              <w:t>类学科竞赛获省级特等、一等（金奖）、二等（银奖）和三等奖（铜奖），分别加3、2、</w:t>
            </w:r>
            <w:r>
              <w:rPr>
                <w:rFonts w:hint="eastAsia"/>
                <w:sz w:val="24"/>
              </w:rPr>
              <w:t>1</w:t>
            </w:r>
            <w:r>
              <w:rPr>
                <w:sz w:val="24"/>
              </w:rPr>
              <w:t>和</w:t>
            </w:r>
            <w:r>
              <w:rPr>
                <w:rFonts w:hint="eastAsia"/>
                <w:sz w:val="24"/>
              </w:rPr>
              <w:t>0</w:t>
            </w:r>
            <w:r>
              <w:rPr>
                <w:sz w:val="24"/>
              </w:rPr>
              <w:t>.5分</w:t>
            </w:r>
            <w:r>
              <w:rPr>
                <w:rFonts w:hint="eastAsia"/>
                <w:sz w:val="24"/>
              </w:rPr>
              <w:t>；B</w:t>
            </w:r>
            <w:r>
              <w:rPr>
                <w:sz w:val="24"/>
              </w:rPr>
              <w:t>类学科竞赛获省级特等、一等（金奖）</w:t>
            </w:r>
            <w:r>
              <w:rPr>
                <w:rFonts w:hint="eastAsia"/>
                <w:sz w:val="24"/>
              </w:rPr>
              <w:t>和</w:t>
            </w:r>
            <w:r>
              <w:rPr>
                <w:sz w:val="24"/>
              </w:rPr>
              <w:t>二等（银奖）分别加2</w:t>
            </w:r>
            <w:r>
              <w:rPr>
                <w:rFonts w:hint="eastAsia"/>
                <w:sz w:val="24"/>
              </w:rPr>
              <w:t xml:space="preserve"> 、1和0</w:t>
            </w:r>
            <w:r>
              <w:rPr>
                <w:sz w:val="24"/>
              </w:rPr>
              <w:t>.5</w:t>
            </w:r>
            <w:r>
              <w:rPr>
                <w:rFonts w:hint="eastAsia"/>
                <w:sz w:val="24"/>
              </w:rPr>
              <w:t>分。</w:t>
            </w:r>
          </w:p>
          <w:p w14:paraId="5A62D22A">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团体项目获奖且获奖者排名分先后的，项目负责人按满分计算，参与人员的第一至五位分别按百分比5</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、4</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、3</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、2</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和1</w:t>
            </w:r>
            <w:r>
              <w:rPr>
                <w:rFonts w:asciiTheme="minorEastAsia" w:hAnsiTheme="minorEastAsia" w:eastAsiaTheme="minorEastAsia" w:cstheme="minorEastAsia"/>
                <w:sz w:val="24"/>
              </w:rPr>
              <w:t>0%</w:t>
            </w:r>
            <w:r>
              <w:rPr>
                <w:rFonts w:hint="eastAsia" w:asciiTheme="minorEastAsia" w:hAnsiTheme="minorEastAsia" w:eastAsiaTheme="minorEastAsia" w:cstheme="minorEastAsia"/>
                <w:sz w:val="24"/>
              </w:rPr>
              <w:t>计算；获奖者排名不分先后的，所有人员按照满分的50%计算。A类学科竞赛计算前五名参与者，B、C类学科竞赛计算前三名参与者。</w:t>
            </w:r>
          </w:p>
          <w:p w14:paraId="1C258AAC">
            <w:pPr>
              <w:widowControl/>
              <w:snapToGrid w:val="0"/>
              <w:ind w:firstLine="480" w:firstLineChars="200"/>
              <w:jc w:val="left"/>
              <w:rPr>
                <w:sz w:val="24"/>
              </w:rPr>
            </w:pPr>
            <w:r>
              <w:rPr>
                <w:rFonts w:hint="eastAsia" w:asciiTheme="minorEastAsia" w:hAnsiTheme="minorEastAsia" w:eastAsiaTheme="minorEastAsia" w:cstheme="minorEastAsia"/>
                <w:sz w:val="24"/>
              </w:rPr>
              <w:t>同一类型或项目不重复加分，累计加分不超过</w:t>
            </w:r>
            <w:r>
              <w:rPr>
                <w:rFonts w:asciiTheme="minorEastAsia" w:hAnsiTheme="minorEastAsia" w:eastAsiaTheme="minorEastAsia" w:cstheme="minorEastAsia"/>
                <w:sz w:val="24"/>
              </w:rPr>
              <w:t>8</w:t>
            </w:r>
            <w:r>
              <w:rPr>
                <w:rFonts w:hint="eastAsia" w:asciiTheme="minorEastAsia" w:hAnsiTheme="minorEastAsia" w:eastAsiaTheme="minorEastAsia" w:cstheme="minorEastAsia"/>
                <w:sz w:val="24"/>
              </w:rPr>
              <w:t>分。</w:t>
            </w:r>
          </w:p>
        </w:tc>
      </w:tr>
      <w:tr w14:paraId="62BD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trPr>
        <w:tc>
          <w:tcPr>
            <w:tcW w:w="1271" w:type="dxa"/>
            <w:vAlign w:val="center"/>
          </w:tcPr>
          <w:p w14:paraId="781D7444">
            <w:pPr>
              <w:widowControl/>
              <w:snapToGrid w:val="0"/>
              <w:jc w:val="center"/>
              <w:rPr>
                <w:sz w:val="24"/>
              </w:rPr>
            </w:pPr>
            <w:r>
              <w:rPr>
                <w:sz w:val="24"/>
              </w:rPr>
              <w:t>学术研究</w:t>
            </w:r>
          </w:p>
          <w:p w14:paraId="1D0239B5">
            <w:pPr>
              <w:widowControl/>
              <w:snapToGrid w:val="0"/>
              <w:jc w:val="center"/>
              <w:rPr>
                <w:sz w:val="24"/>
              </w:rPr>
            </w:pPr>
            <w:r>
              <w:rPr>
                <w:sz w:val="24"/>
              </w:rPr>
              <w:t>（7分）</w:t>
            </w:r>
          </w:p>
          <w:p w14:paraId="796CA8E5">
            <w:pPr>
              <w:widowControl/>
              <w:snapToGrid w:val="0"/>
              <w:jc w:val="center"/>
              <w:rPr>
                <w:sz w:val="24"/>
              </w:rPr>
            </w:pPr>
          </w:p>
        </w:tc>
        <w:tc>
          <w:tcPr>
            <w:tcW w:w="8024" w:type="dxa"/>
            <w:vAlign w:val="center"/>
          </w:tcPr>
          <w:p w14:paraId="589858B8">
            <w:pPr>
              <w:widowControl/>
              <w:snapToGrid w:val="0"/>
              <w:ind w:firstLine="480" w:firstLineChars="200"/>
              <w:jc w:val="left"/>
              <w:rPr>
                <w:sz w:val="24"/>
              </w:rPr>
            </w:pPr>
          </w:p>
          <w:p w14:paraId="67906AAD">
            <w:pPr>
              <w:widowControl/>
              <w:snapToGrid w:val="0"/>
              <w:ind w:firstLine="480" w:firstLineChars="200"/>
              <w:jc w:val="left"/>
              <w:rPr>
                <w:sz w:val="24"/>
              </w:rPr>
            </w:pPr>
            <w:r>
              <w:rPr>
                <w:sz w:val="24"/>
              </w:rPr>
              <w:t>文章署名第一单位为西北农林科技大学</w:t>
            </w:r>
            <w:r>
              <w:rPr>
                <w:rFonts w:hint="eastAsia"/>
                <w:sz w:val="24"/>
              </w:rPr>
              <w:t>生命科学学院</w:t>
            </w:r>
            <w:r>
              <w:rPr>
                <w:sz w:val="24"/>
              </w:rPr>
              <w:t>，在SCI期刊上发表</w:t>
            </w:r>
            <w:r>
              <w:rPr>
                <w:rFonts w:hint="eastAsia"/>
                <w:sz w:val="24"/>
              </w:rPr>
              <w:t>生物学科研究</w:t>
            </w:r>
            <w:r>
              <w:rPr>
                <w:sz w:val="24"/>
              </w:rPr>
              <w:t>论文</w:t>
            </w:r>
            <w:r>
              <w:rPr>
                <w:rFonts w:hint="eastAsia"/>
                <w:sz w:val="24"/>
              </w:rPr>
              <w:t>并提供真实的科研记录和原始数据</w:t>
            </w:r>
            <w:r>
              <w:rPr>
                <w:sz w:val="24"/>
              </w:rPr>
              <w:t>，</w:t>
            </w:r>
            <w:r>
              <w:rPr>
                <w:rFonts w:hint="eastAsia"/>
                <w:sz w:val="24"/>
              </w:rPr>
              <w:t>中科院大类</w:t>
            </w:r>
            <w:r>
              <w:rPr>
                <w:sz w:val="24"/>
              </w:rPr>
              <w:t>1</w:t>
            </w:r>
            <w:r>
              <w:rPr>
                <w:rFonts w:hint="eastAsia"/>
                <w:sz w:val="24"/>
              </w:rPr>
              <w:t>区及以上的</w:t>
            </w:r>
            <w:r>
              <w:rPr>
                <w:sz w:val="24"/>
              </w:rPr>
              <w:t>第一</w:t>
            </w:r>
            <w:r>
              <w:rPr>
                <w:rFonts w:hint="eastAsia"/>
                <w:sz w:val="24"/>
              </w:rPr>
              <w:t>作者、第二作者和第三作者</w:t>
            </w:r>
            <w:r>
              <w:rPr>
                <w:sz w:val="24"/>
              </w:rPr>
              <w:t>每篇分别加5</w:t>
            </w:r>
            <w:r>
              <w:rPr>
                <w:rFonts w:hint="eastAsia"/>
                <w:sz w:val="24"/>
              </w:rPr>
              <w:t>、3、</w:t>
            </w:r>
            <w:r>
              <w:rPr>
                <w:sz w:val="24"/>
              </w:rPr>
              <w:t>2分</w:t>
            </w:r>
            <w:r>
              <w:rPr>
                <w:rFonts w:hint="eastAsia"/>
                <w:sz w:val="24"/>
              </w:rPr>
              <w:t>；中科院大类</w:t>
            </w:r>
            <w:r>
              <w:rPr>
                <w:sz w:val="24"/>
              </w:rPr>
              <w:t>2</w:t>
            </w:r>
            <w:r>
              <w:rPr>
                <w:rFonts w:hint="eastAsia"/>
                <w:sz w:val="24"/>
              </w:rPr>
              <w:t>区的</w:t>
            </w:r>
            <w:r>
              <w:rPr>
                <w:sz w:val="24"/>
              </w:rPr>
              <w:t>第一</w:t>
            </w:r>
            <w:r>
              <w:rPr>
                <w:rFonts w:hint="eastAsia"/>
                <w:sz w:val="24"/>
              </w:rPr>
              <w:t>作者、第二作者和第三作者</w:t>
            </w:r>
            <w:r>
              <w:rPr>
                <w:sz w:val="24"/>
              </w:rPr>
              <w:t>每篇分别加4</w:t>
            </w:r>
            <w:r>
              <w:rPr>
                <w:rFonts w:hint="eastAsia"/>
                <w:sz w:val="24"/>
              </w:rPr>
              <w:t>、</w:t>
            </w:r>
            <w:r>
              <w:rPr>
                <w:sz w:val="24"/>
              </w:rPr>
              <w:t>2</w:t>
            </w:r>
            <w:r>
              <w:rPr>
                <w:rFonts w:hint="eastAsia"/>
                <w:sz w:val="24"/>
              </w:rPr>
              <w:t>、</w:t>
            </w:r>
            <w:r>
              <w:rPr>
                <w:sz w:val="24"/>
              </w:rPr>
              <w:t>1分</w:t>
            </w:r>
            <w:r>
              <w:rPr>
                <w:rFonts w:hint="eastAsia"/>
                <w:sz w:val="24"/>
              </w:rPr>
              <w:t>；其它S</w:t>
            </w:r>
            <w:r>
              <w:rPr>
                <w:sz w:val="24"/>
              </w:rPr>
              <w:t>CI</w:t>
            </w:r>
            <w:r>
              <w:rPr>
                <w:rFonts w:hint="eastAsia"/>
                <w:sz w:val="24"/>
              </w:rPr>
              <w:t>论文的</w:t>
            </w:r>
            <w:r>
              <w:rPr>
                <w:sz w:val="24"/>
              </w:rPr>
              <w:t>第一作者</w:t>
            </w:r>
            <w:r>
              <w:rPr>
                <w:rFonts w:hint="eastAsia"/>
                <w:sz w:val="24"/>
              </w:rPr>
              <w:t>和第二作者每篇分别加</w:t>
            </w:r>
            <w:r>
              <w:rPr>
                <w:sz w:val="24"/>
              </w:rPr>
              <w:t>2</w:t>
            </w:r>
            <w:r>
              <w:rPr>
                <w:rFonts w:hint="eastAsia"/>
                <w:sz w:val="24"/>
              </w:rPr>
              <w:t>和1分；</w:t>
            </w:r>
            <w:r>
              <w:rPr>
                <w:sz w:val="24"/>
              </w:rPr>
              <w:t>在EI或中文核心期刊上发表</w:t>
            </w:r>
            <w:r>
              <w:rPr>
                <w:rFonts w:hint="eastAsia"/>
                <w:sz w:val="24"/>
              </w:rPr>
              <w:t>研究</w:t>
            </w:r>
            <w:r>
              <w:rPr>
                <w:sz w:val="24"/>
              </w:rPr>
              <w:t>论文</w:t>
            </w:r>
            <w:r>
              <w:rPr>
                <w:rFonts w:hint="eastAsia"/>
                <w:sz w:val="24"/>
              </w:rPr>
              <w:t>的</w:t>
            </w:r>
            <w:r>
              <w:rPr>
                <w:sz w:val="24"/>
              </w:rPr>
              <w:t>第一作者每篇加</w:t>
            </w:r>
            <w:r>
              <w:rPr>
                <w:rFonts w:hint="eastAsia"/>
                <w:sz w:val="24"/>
              </w:rPr>
              <w:t>1分。</w:t>
            </w:r>
            <w:r>
              <w:rPr>
                <w:sz w:val="24"/>
              </w:rPr>
              <w:t>共同第一作者</w:t>
            </w:r>
            <w:r>
              <w:rPr>
                <w:rFonts w:hint="eastAsia"/>
                <w:sz w:val="24"/>
              </w:rPr>
              <w:t>按第二作计，其余以此类推。</w:t>
            </w:r>
          </w:p>
          <w:p w14:paraId="2A5954E7">
            <w:pPr>
              <w:widowControl/>
              <w:snapToGrid w:val="0"/>
              <w:ind w:firstLine="480" w:firstLineChars="200"/>
              <w:jc w:val="left"/>
              <w:rPr>
                <w:sz w:val="24"/>
              </w:rPr>
            </w:pPr>
            <w:r>
              <w:rPr>
                <w:sz w:val="24"/>
              </w:rPr>
              <w:t>累计加分不超过7分。</w:t>
            </w:r>
            <w:r>
              <w:rPr>
                <w:rFonts w:hint="eastAsia"/>
                <w:sz w:val="24"/>
              </w:rPr>
              <w:t>无真实科研记录和原始数据的不加分。</w:t>
            </w:r>
          </w:p>
          <w:p w14:paraId="401AE488">
            <w:pPr>
              <w:widowControl/>
              <w:snapToGrid w:val="0"/>
              <w:ind w:firstLine="480" w:firstLineChars="200"/>
              <w:jc w:val="left"/>
              <w:rPr>
                <w:sz w:val="24"/>
              </w:rPr>
            </w:pPr>
          </w:p>
        </w:tc>
      </w:tr>
      <w:tr w14:paraId="0762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exact"/>
        </w:trPr>
        <w:tc>
          <w:tcPr>
            <w:tcW w:w="1271" w:type="dxa"/>
            <w:vAlign w:val="center"/>
          </w:tcPr>
          <w:p w14:paraId="2D5C3817">
            <w:pPr>
              <w:widowControl/>
              <w:snapToGrid w:val="0"/>
              <w:jc w:val="center"/>
              <w:rPr>
                <w:sz w:val="24"/>
              </w:rPr>
            </w:pPr>
            <w:r>
              <w:rPr>
                <w:sz w:val="24"/>
              </w:rPr>
              <w:t>科研训练</w:t>
            </w:r>
          </w:p>
          <w:p w14:paraId="45E09788">
            <w:pPr>
              <w:widowControl/>
              <w:snapToGrid w:val="0"/>
              <w:jc w:val="center"/>
              <w:rPr>
                <w:sz w:val="24"/>
              </w:rPr>
            </w:pPr>
            <w:r>
              <w:rPr>
                <w:sz w:val="24"/>
              </w:rPr>
              <w:t>（10分）</w:t>
            </w:r>
          </w:p>
        </w:tc>
        <w:tc>
          <w:tcPr>
            <w:tcW w:w="8024" w:type="dxa"/>
            <w:vAlign w:val="center"/>
          </w:tcPr>
          <w:p w14:paraId="542219B1">
            <w:pPr>
              <w:widowControl/>
              <w:snapToGrid w:val="0"/>
              <w:ind w:firstLine="480" w:firstLineChars="200"/>
              <w:jc w:val="left"/>
              <w:rPr>
                <w:sz w:val="24"/>
              </w:rPr>
            </w:pPr>
            <w:r>
              <w:rPr>
                <w:rFonts w:hint="eastAsia"/>
                <w:sz w:val="24"/>
              </w:rPr>
              <w:t>参加学院“启航计划”科研训练者加0</w:t>
            </w:r>
            <w:r>
              <w:rPr>
                <w:sz w:val="24"/>
              </w:rPr>
              <w:t>.5</w:t>
            </w:r>
            <w:r>
              <w:rPr>
                <w:rFonts w:hint="eastAsia"/>
                <w:sz w:val="24"/>
              </w:rPr>
              <w:t>分；</w:t>
            </w:r>
          </w:p>
          <w:p w14:paraId="3B407A9C">
            <w:pPr>
              <w:widowControl/>
              <w:snapToGrid w:val="0"/>
              <w:ind w:firstLine="480" w:firstLineChars="200"/>
              <w:jc w:val="left"/>
              <w:rPr>
                <w:sz w:val="24"/>
              </w:rPr>
            </w:pPr>
            <w:r>
              <w:rPr>
                <w:sz w:val="24"/>
              </w:rPr>
              <w:t>以主持人身份获批大学生创新创业训练计划项目</w:t>
            </w:r>
            <w:r>
              <w:rPr>
                <w:rFonts w:hint="eastAsia"/>
                <w:sz w:val="24"/>
              </w:rPr>
              <w:t>且结题</w:t>
            </w:r>
            <w:r>
              <w:rPr>
                <w:sz w:val="24"/>
              </w:rPr>
              <w:t>，国家级加3分（参与者加2分），省级加2分（参与者加1分），校级加1分（参与者加0.5分）；课题结题考核等级为优秀者，</w:t>
            </w:r>
            <w:r>
              <w:rPr>
                <w:rFonts w:hint="eastAsia" w:asciiTheme="minorEastAsia" w:hAnsiTheme="minorEastAsia" w:eastAsiaTheme="minorEastAsia" w:cstheme="minorEastAsia"/>
                <w:sz w:val="24"/>
              </w:rPr>
              <w:t>额外加</w:t>
            </w:r>
            <w:r>
              <w:rPr>
                <w:rFonts w:asciiTheme="minorEastAsia" w:hAnsiTheme="minorEastAsia" w:eastAsiaTheme="minorEastAsia" w:cstheme="minorEastAsia"/>
                <w:sz w:val="24"/>
              </w:rPr>
              <w:t>2</w:t>
            </w:r>
            <w:r>
              <w:rPr>
                <w:rFonts w:hint="eastAsia" w:asciiTheme="minorEastAsia" w:hAnsiTheme="minorEastAsia" w:eastAsiaTheme="minorEastAsia" w:cstheme="minorEastAsia"/>
                <w:sz w:val="24"/>
              </w:rPr>
              <w:t>分</w:t>
            </w:r>
            <w:r>
              <w:rPr>
                <w:sz w:val="24"/>
              </w:rPr>
              <w:t>，同一类型</w:t>
            </w:r>
            <w:r>
              <w:rPr>
                <w:rFonts w:hint="eastAsia"/>
                <w:sz w:val="24"/>
              </w:rPr>
              <w:t>或</w:t>
            </w:r>
            <w:r>
              <w:rPr>
                <w:sz w:val="24"/>
              </w:rPr>
              <w:t>项目不累计加分；</w:t>
            </w:r>
          </w:p>
          <w:p w14:paraId="33AC8E4F">
            <w:pPr>
              <w:widowControl/>
              <w:snapToGrid w:val="0"/>
              <w:ind w:firstLine="480" w:firstLineChars="200"/>
              <w:jc w:val="left"/>
              <w:rPr>
                <w:sz w:val="24"/>
              </w:rPr>
            </w:pPr>
            <w:r>
              <w:rPr>
                <w:sz w:val="24"/>
              </w:rPr>
              <w:t>《生物科学前沿探索实验》</w:t>
            </w:r>
            <w:r>
              <w:rPr>
                <w:rFonts w:hint="eastAsia"/>
                <w:sz w:val="24"/>
              </w:rPr>
              <w:t>、</w:t>
            </w:r>
            <w:r>
              <w:rPr>
                <w:sz w:val="24"/>
              </w:rPr>
              <w:t>《生物化学综合实验I》</w:t>
            </w:r>
            <w:r>
              <w:rPr>
                <w:rFonts w:hint="eastAsia"/>
                <w:sz w:val="24"/>
              </w:rPr>
              <w:t>、</w:t>
            </w:r>
            <w:r>
              <w:rPr>
                <w:sz w:val="24"/>
              </w:rPr>
              <w:t>《生物化学综合实验II》和《生物学野外综合实习》等4门自主实践课程考核优秀（90分及以上）每门加</w:t>
            </w:r>
            <w:r>
              <w:rPr>
                <w:rFonts w:hint="eastAsia"/>
                <w:sz w:val="24"/>
              </w:rPr>
              <w:t>1</w:t>
            </w:r>
            <w:r>
              <w:rPr>
                <w:sz w:val="24"/>
              </w:rPr>
              <w:t>分，良好（80-89分）每门加</w:t>
            </w:r>
            <w:r>
              <w:rPr>
                <w:rFonts w:hint="eastAsia"/>
                <w:sz w:val="24"/>
              </w:rPr>
              <w:t>0.5</w:t>
            </w:r>
            <w:r>
              <w:rPr>
                <w:sz w:val="24"/>
              </w:rPr>
              <w:t>分。</w:t>
            </w:r>
          </w:p>
          <w:p w14:paraId="7DDC4C28">
            <w:pPr>
              <w:widowControl/>
              <w:snapToGrid w:val="0"/>
              <w:ind w:firstLine="480" w:firstLineChars="200"/>
              <w:jc w:val="left"/>
              <w:rPr>
                <w:sz w:val="24"/>
              </w:rPr>
            </w:pPr>
            <w:r>
              <w:rPr>
                <w:sz w:val="24"/>
              </w:rPr>
              <w:t>累计加分不超过10分。</w:t>
            </w:r>
          </w:p>
        </w:tc>
      </w:tr>
      <w:tr w14:paraId="77AF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7" w:hRule="atLeast"/>
        </w:trPr>
        <w:tc>
          <w:tcPr>
            <w:tcW w:w="1271" w:type="dxa"/>
            <w:vAlign w:val="center"/>
          </w:tcPr>
          <w:p w14:paraId="6972D719">
            <w:pPr>
              <w:widowControl/>
              <w:snapToGrid w:val="0"/>
              <w:jc w:val="center"/>
              <w:rPr>
                <w:sz w:val="24"/>
              </w:rPr>
            </w:pPr>
          </w:p>
          <w:p w14:paraId="75B2CB5F">
            <w:pPr>
              <w:widowControl/>
              <w:snapToGrid w:val="0"/>
              <w:jc w:val="center"/>
              <w:rPr>
                <w:sz w:val="24"/>
              </w:rPr>
            </w:pPr>
          </w:p>
          <w:p w14:paraId="6730EDED">
            <w:pPr>
              <w:widowControl/>
              <w:snapToGrid w:val="0"/>
              <w:jc w:val="center"/>
              <w:rPr>
                <w:sz w:val="24"/>
              </w:rPr>
            </w:pPr>
            <w:r>
              <w:rPr>
                <w:sz w:val="24"/>
              </w:rPr>
              <w:t>外语水平</w:t>
            </w:r>
          </w:p>
          <w:p w14:paraId="5B248506">
            <w:pPr>
              <w:widowControl/>
              <w:snapToGrid w:val="0"/>
              <w:jc w:val="center"/>
              <w:rPr>
                <w:sz w:val="24"/>
              </w:rPr>
            </w:pPr>
            <w:r>
              <w:rPr>
                <w:sz w:val="24"/>
              </w:rPr>
              <w:t>（5分）</w:t>
            </w:r>
          </w:p>
          <w:p w14:paraId="23100E8C">
            <w:pPr>
              <w:widowControl/>
              <w:snapToGrid w:val="0"/>
              <w:rPr>
                <w:sz w:val="24"/>
              </w:rPr>
            </w:pPr>
          </w:p>
        </w:tc>
        <w:tc>
          <w:tcPr>
            <w:tcW w:w="8024" w:type="dxa"/>
            <w:vAlign w:val="center"/>
          </w:tcPr>
          <w:p w14:paraId="3A0AE2C2">
            <w:pPr>
              <w:widowControl/>
              <w:snapToGrid w:val="0"/>
              <w:ind w:firstLine="480" w:firstLineChars="200"/>
              <w:rPr>
                <w:sz w:val="24"/>
              </w:rPr>
            </w:pPr>
            <w:r>
              <w:rPr>
                <w:rFonts w:hint="eastAsia"/>
                <w:sz w:val="24"/>
              </w:rPr>
              <w:t>大学英语六级考试5</w:t>
            </w:r>
            <w:r>
              <w:rPr>
                <w:sz w:val="24"/>
              </w:rPr>
              <w:t>50</w:t>
            </w:r>
            <w:r>
              <w:rPr>
                <w:rFonts w:hint="eastAsia"/>
                <w:sz w:val="24"/>
              </w:rPr>
              <w:t>分及以上加2分，6</w:t>
            </w:r>
            <w:r>
              <w:rPr>
                <w:sz w:val="24"/>
              </w:rPr>
              <w:t>00</w:t>
            </w:r>
            <w:r>
              <w:rPr>
                <w:rFonts w:hint="eastAsia"/>
                <w:sz w:val="24"/>
              </w:rPr>
              <w:t>分及以上加3分；</w:t>
            </w:r>
            <w:r>
              <w:rPr>
                <w:sz w:val="24"/>
              </w:rPr>
              <w:t>雅思成绩（有效期两年内）7.0及以上加2分，7.5及以上者加3分；托福成绩（有效期两年内）90及以上者加2分，105及以上者加3分；GRE（有效期两年内）300-319加2分，320及以上加3分。各项不重复加分，按最高成绩计算。</w:t>
            </w:r>
          </w:p>
          <w:p w14:paraId="4EA9F468">
            <w:pPr>
              <w:widowControl/>
              <w:snapToGrid w:val="0"/>
              <w:ind w:firstLine="480" w:firstLineChars="200"/>
              <w:jc w:val="left"/>
              <w:rPr>
                <w:sz w:val="24"/>
              </w:rPr>
            </w:pPr>
            <w:r>
              <w:rPr>
                <w:sz w:val="24"/>
              </w:rPr>
              <w:t>选修全英文课程获得80-89分每门加0.5分，获得90分及以上每门加1分。</w:t>
            </w:r>
          </w:p>
          <w:p w14:paraId="69122201">
            <w:pPr>
              <w:snapToGrid w:val="0"/>
              <w:ind w:firstLine="480" w:firstLineChars="200"/>
              <w:jc w:val="left"/>
              <w:rPr>
                <w:sz w:val="24"/>
              </w:rPr>
            </w:pPr>
            <w:r>
              <w:rPr>
                <w:sz w:val="24"/>
              </w:rPr>
              <w:t>累计</w:t>
            </w:r>
            <w:r>
              <w:rPr>
                <w:rFonts w:hint="eastAsia"/>
                <w:sz w:val="24"/>
              </w:rPr>
              <w:t>加分</w:t>
            </w:r>
            <w:r>
              <w:rPr>
                <w:sz w:val="24"/>
              </w:rPr>
              <w:t>不超过5分。</w:t>
            </w:r>
          </w:p>
        </w:tc>
      </w:tr>
      <w:tr w14:paraId="56FF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271" w:type="dxa"/>
            <w:vAlign w:val="center"/>
          </w:tcPr>
          <w:p w14:paraId="20F2C2B9">
            <w:pPr>
              <w:widowControl/>
              <w:snapToGrid w:val="0"/>
              <w:jc w:val="center"/>
              <w:rPr>
                <w:sz w:val="24"/>
              </w:rPr>
            </w:pPr>
            <w:r>
              <w:rPr>
                <w:sz w:val="24"/>
              </w:rPr>
              <w:t>国际交流</w:t>
            </w:r>
          </w:p>
          <w:p w14:paraId="1C24FCB7">
            <w:pPr>
              <w:widowControl/>
              <w:snapToGrid w:val="0"/>
              <w:jc w:val="center"/>
              <w:rPr>
                <w:sz w:val="24"/>
              </w:rPr>
            </w:pPr>
            <w:r>
              <w:rPr>
                <w:sz w:val="24"/>
              </w:rPr>
              <w:t>（5分）</w:t>
            </w:r>
          </w:p>
        </w:tc>
        <w:tc>
          <w:tcPr>
            <w:tcW w:w="8024" w:type="dxa"/>
          </w:tcPr>
          <w:p w14:paraId="51FFB339">
            <w:pPr>
              <w:widowControl/>
              <w:snapToGrid w:val="0"/>
              <w:ind w:firstLine="480" w:firstLineChars="200"/>
              <w:rPr>
                <w:sz w:val="24"/>
              </w:rPr>
            </w:pPr>
          </w:p>
          <w:p w14:paraId="598B7B21">
            <w:pPr>
              <w:widowControl/>
              <w:snapToGrid w:val="0"/>
              <w:ind w:firstLine="480" w:firstLineChars="200"/>
              <w:rPr>
                <w:sz w:val="24"/>
              </w:rPr>
            </w:pPr>
            <w:r>
              <w:rPr>
                <w:sz w:val="24"/>
              </w:rPr>
              <w:t>在校期间</w:t>
            </w:r>
            <w:r>
              <w:rPr>
                <w:rFonts w:hint="eastAsia"/>
                <w:sz w:val="24"/>
              </w:rPr>
              <w:t>完成</w:t>
            </w:r>
            <w:r>
              <w:rPr>
                <w:sz w:val="24"/>
              </w:rPr>
              <w:t>连续三个月及以上的</w:t>
            </w:r>
            <w:r>
              <w:rPr>
                <w:rFonts w:hint="eastAsia"/>
                <w:sz w:val="24"/>
              </w:rPr>
              <w:t>境外</w:t>
            </w:r>
            <w:r>
              <w:rPr>
                <w:sz w:val="24"/>
              </w:rPr>
              <w:t>访学，每次加3分；学校、学院组织派出或经学院认定的其他国际交流，每项加1分。累计加分不超过5分。</w:t>
            </w:r>
          </w:p>
        </w:tc>
      </w:tr>
    </w:tbl>
    <w:p w14:paraId="255C630E">
      <w:pPr>
        <w:widowControl/>
        <w:snapToGrid w:val="0"/>
        <w:rPr>
          <w:sz w:val="24"/>
        </w:rPr>
      </w:pPr>
    </w:p>
    <w:p w14:paraId="6450DF82">
      <w:pPr>
        <w:widowControl/>
        <w:snapToGrid w:val="0"/>
        <w:rPr>
          <w:sz w:val="24"/>
        </w:rPr>
      </w:pPr>
    </w:p>
    <w:p w14:paraId="0D9B6CC0">
      <w:pPr>
        <w:widowControl/>
        <w:snapToGrid w:val="0"/>
        <w:rPr>
          <w:sz w:val="24"/>
        </w:rPr>
      </w:pPr>
    </w:p>
    <w:p w14:paraId="1EA7B228">
      <w:pPr>
        <w:widowControl/>
        <w:snapToGrid w:val="0"/>
        <w:rPr>
          <w:color w:val="FF0000"/>
          <w:sz w:val="24"/>
        </w:rPr>
      </w:pPr>
      <w:r>
        <w:rPr>
          <w:sz w:val="24"/>
        </w:rPr>
        <w:t>注：</w:t>
      </w:r>
      <w:r>
        <w:rPr>
          <w:color w:val="FF0000"/>
          <w:sz w:val="24"/>
        </w:rPr>
        <w:t xml:space="preserve"> </w:t>
      </w:r>
    </w:p>
    <w:p w14:paraId="226A690C">
      <w:pPr>
        <w:widowControl/>
        <w:numPr>
          <w:ilvl w:val="0"/>
          <w:numId w:val="4"/>
        </w:numPr>
        <w:snapToGrid w:val="0"/>
        <w:rPr>
          <w:sz w:val="24"/>
        </w:rPr>
      </w:pPr>
      <w:r>
        <w:rPr>
          <w:sz w:val="24"/>
        </w:rPr>
        <w:t>科研潜质考核加分项按表格内容加分计算，同一项目加分</w:t>
      </w:r>
      <w:r>
        <w:rPr>
          <w:rFonts w:hint="eastAsia"/>
          <w:sz w:val="24"/>
        </w:rPr>
        <w:t>采取就高原则</w:t>
      </w:r>
      <w:r>
        <w:rPr>
          <w:sz w:val="24"/>
        </w:rPr>
        <w:t>，不重复加分。</w:t>
      </w:r>
    </w:p>
    <w:p w14:paraId="674CB3E5">
      <w:pPr>
        <w:widowControl/>
        <w:numPr>
          <w:ilvl w:val="0"/>
          <w:numId w:val="4"/>
        </w:numPr>
        <w:snapToGrid w:val="0"/>
        <w:rPr>
          <w:sz w:val="24"/>
        </w:rPr>
      </w:pPr>
      <w:r>
        <w:rPr>
          <w:sz w:val="24"/>
        </w:rPr>
        <w:t>学生发表的论文、获奖成果等，都必须是本人在</w:t>
      </w:r>
      <w:r>
        <w:rPr>
          <w:rFonts w:hint="eastAsia"/>
          <w:sz w:val="24"/>
        </w:rPr>
        <w:t>校</w:t>
      </w:r>
      <w:r>
        <w:rPr>
          <w:sz w:val="24"/>
        </w:rPr>
        <w:t>期间发表或者获得</w:t>
      </w:r>
      <w:r>
        <w:rPr>
          <w:rFonts w:hint="eastAsia"/>
          <w:sz w:val="24"/>
        </w:rPr>
        <w:t>，且已</w:t>
      </w:r>
      <w:r>
        <w:rPr>
          <w:sz w:val="24"/>
        </w:rPr>
        <w:t>公开发表</w:t>
      </w:r>
      <w:r>
        <w:rPr>
          <w:rFonts w:hint="eastAsia"/>
          <w:sz w:val="24"/>
        </w:rPr>
        <w:t>或</w:t>
      </w:r>
      <w:r>
        <w:rPr>
          <w:sz w:val="24"/>
        </w:rPr>
        <w:t>收到正式接收函。</w:t>
      </w:r>
    </w:p>
    <w:p w14:paraId="049E3D6C">
      <w:pPr>
        <w:widowControl/>
        <w:numPr>
          <w:ilvl w:val="0"/>
          <w:numId w:val="4"/>
        </w:numPr>
        <w:snapToGrid w:val="0"/>
        <w:rPr>
          <w:sz w:val="24"/>
        </w:rPr>
      </w:pPr>
      <w:r>
        <w:rPr>
          <w:sz w:val="24"/>
        </w:rPr>
        <w:t>所有加分项目以学生提供的证书、论文首页、论文接收函等原件为依据</w:t>
      </w:r>
      <w:r>
        <w:rPr>
          <w:rFonts w:hint="eastAsia"/>
          <w:sz w:val="24"/>
        </w:rPr>
        <w:t>。</w:t>
      </w:r>
    </w:p>
    <w:p w14:paraId="712AB065">
      <w:pPr>
        <w:widowControl/>
        <w:snapToGrid w:val="0"/>
        <w:rPr>
          <w:rFonts w:ascii="黑体" w:hAnsi="黑体" w:eastAsia="黑体" w:cs="黑体"/>
          <w:sz w:val="32"/>
          <w:szCs w:val="32"/>
        </w:rPr>
      </w:pPr>
      <w:r>
        <w:rPr>
          <w:rFonts w:hint="eastAsia" w:asciiTheme="minorEastAsia" w:hAnsiTheme="minorEastAsia" w:eastAsiaTheme="minorEastAsia" w:cstheme="minorEastAsia"/>
          <w:sz w:val="24"/>
        </w:rPr>
        <w:t>4.如有其他特殊贡献或突出奖励，由学生提出申请，推免生遴选工作小组予以认定和加分。</w:t>
      </w:r>
    </w:p>
    <w:sectPr>
      <w:headerReference r:id="rId3" w:type="default"/>
      <w:pgSz w:w="11906" w:h="16838"/>
      <w:pgMar w:top="720" w:right="1134"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HarmonyOS Sans SC">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904D">
    <w:pPr>
      <w:pStyle w:val="4"/>
      <w:pBdr>
        <w:bottom w:val="none" w:color="auto" w:sz="0" w:space="0"/>
      </w:pBdr>
      <w:jc w:val="left"/>
      <w:rPr>
        <w:rFonts w:ascii="仿宋" w:hAnsi="仿宋" w:eastAsia="仿宋"/>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73E16"/>
    <w:multiLevelType w:val="singleLevel"/>
    <w:tmpl w:val="8D573E16"/>
    <w:lvl w:ilvl="0" w:tentative="0">
      <w:start w:val="1"/>
      <w:numFmt w:val="decimal"/>
      <w:suff w:val="space"/>
      <w:lvlText w:val="%1."/>
      <w:lvlJc w:val="left"/>
    </w:lvl>
  </w:abstractNum>
  <w:abstractNum w:abstractNumId="1">
    <w:nsid w:val="9A6BBB20"/>
    <w:multiLevelType w:val="singleLevel"/>
    <w:tmpl w:val="9A6BBB20"/>
    <w:lvl w:ilvl="0" w:tentative="0">
      <w:start w:val="2"/>
      <w:numFmt w:val="decimal"/>
      <w:suff w:val="space"/>
      <w:lvlText w:val="%1."/>
      <w:lvlJc w:val="left"/>
    </w:lvl>
  </w:abstractNum>
  <w:abstractNum w:abstractNumId="2">
    <w:nsid w:val="21A9BA80"/>
    <w:multiLevelType w:val="singleLevel"/>
    <w:tmpl w:val="21A9BA80"/>
    <w:lvl w:ilvl="0" w:tentative="0">
      <w:start w:val="1"/>
      <w:numFmt w:val="decimal"/>
      <w:suff w:val="space"/>
      <w:lvlText w:val="%1."/>
      <w:lvlJc w:val="left"/>
    </w:lvl>
  </w:abstractNum>
  <w:abstractNum w:abstractNumId="3">
    <w:nsid w:val="4E21EAD6"/>
    <w:multiLevelType w:val="singleLevel"/>
    <w:tmpl w:val="4E21EAD6"/>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ZTQ4N2EwYzIzNWFlNmZjNTkzNzNlZDNmYWZhNzUifQ=="/>
  </w:docVars>
  <w:rsids>
    <w:rsidRoot w:val="37913034"/>
    <w:rsid w:val="001A186B"/>
    <w:rsid w:val="001F1456"/>
    <w:rsid w:val="002319F8"/>
    <w:rsid w:val="00260371"/>
    <w:rsid w:val="00325051"/>
    <w:rsid w:val="00505D90"/>
    <w:rsid w:val="00565FDF"/>
    <w:rsid w:val="006255E0"/>
    <w:rsid w:val="00730E08"/>
    <w:rsid w:val="00767D6A"/>
    <w:rsid w:val="0091126A"/>
    <w:rsid w:val="009F5208"/>
    <w:rsid w:val="00A76D02"/>
    <w:rsid w:val="00AF3D2F"/>
    <w:rsid w:val="00B33B7B"/>
    <w:rsid w:val="00BB2961"/>
    <w:rsid w:val="00CF2260"/>
    <w:rsid w:val="00D23B4B"/>
    <w:rsid w:val="00DC4D13"/>
    <w:rsid w:val="00F442E1"/>
    <w:rsid w:val="00F508E5"/>
    <w:rsid w:val="01A330C0"/>
    <w:rsid w:val="02A84D1C"/>
    <w:rsid w:val="06791048"/>
    <w:rsid w:val="07660B6A"/>
    <w:rsid w:val="0AB063A2"/>
    <w:rsid w:val="0D8F2545"/>
    <w:rsid w:val="136B5974"/>
    <w:rsid w:val="13AC746F"/>
    <w:rsid w:val="141B3DE6"/>
    <w:rsid w:val="14B107CA"/>
    <w:rsid w:val="174834F8"/>
    <w:rsid w:val="19787C6E"/>
    <w:rsid w:val="19EF7598"/>
    <w:rsid w:val="1A1F4931"/>
    <w:rsid w:val="1BAD6604"/>
    <w:rsid w:val="1CCE0EE4"/>
    <w:rsid w:val="1D8A155C"/>
    <w:rsid w:val="1FF61321"/>
    <w:rsid w:val="20F939D8"/>
    <w:rsid w:val="22117DF3"/>
    <w:rsid w:val="265A102C"/>
    <w:rsid w:val="292A547C"/>
    <w:rsid w:val="2CCA7ABD"/>
    <w:rsid w:val="37913034"/>
    <w:rsid w:val="39951809"/>
    <w:rsid w:val="46C80455"/>
    <w:rsid w:val="488D470C"/>
    <w:rsid w:val="4926189D"/>
    <w:rsid w:val="4E081935"/>
    <w:rsid w:val="4FEF420F"/>
    <w:rsid w:val="501817A4"/>
    <w:rsid w:val="53B47EDC"/>
    <w:rsid w:val="580300DD"/>
    <w:rsid w:val="594A3516"/>
    <w:rsid w:val="59783D5F"/>
    <w:rsid w:val="5A7E44BA"/>
    <w:rsid w:val="633E31BA"/>
    <w:rsid w:val="6CC3117E"/>
    <w:rsid w:val="6F9A486B"/>
    <w:rsid w:val="7614205F"/>
    <w:rsid w:val="77AA1084"/>
    <w:rsid w:val="78EA570A"/>
    <w:rsid w:val="79A46F02"/>
    <w:rsid w:val="7D7FD7E7"/>
    <w:rsid w:val="7FEB7DA7"/>
    <w:rsid w:val="FE2A4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pPr>
      <w:ind w:left="100" w:leftChars="2500"/>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日期 字符"/>
    <w:basedOn w:val="7"/>
    <w:link w:val="2"/>
    <w:qFormat/>
    <w:uiPriority w:val="0"/>
    <w:rPr>
      <w:rFonts w:ascii="Times New Roman" w:hAnsi="Times New Roman" w:eastAsia="宋体" w:cs="Times New Roman"/>
      <w:kern w:val="2"/>
      <w:sz w:val="21"/>
      <w:szCs w:val="24"/>
    </w:rPr>
  </w:style>
  <w:style w:type="character" w:styleId="9">
    <w:name w:val="Placeholder Text"/>
    <w:basedOn w:val="7"/>
    <w:semiHidden/>
    <w:qFormat/>
    <w:uiPriority w:val="99"/>
    <w:rPr>
      <w:color w:val="808080"/>
    </w:rPr>
  </w:style>
  <w:style w:type="character" w:customStyle="1" w:styleId="10">
    <w:name w:val="页眉 字符"/>
    <w:basedOn w:val="7"/>
    <w:link w:val="4"/>
    <w:qFormat/>
    <w:uiPriority w:val="0"/>
    <w:rPr>
      <w:rFonts w:ascii="Times New Roman" w:hAnsi="Times New Roman" w:eastAsia="宋体" w:cs="Times New Roman"/>
      <w:kern w:val="2"/>
      <w:sz w:val="18"/>
      <w:szCs w:val="18"/>
    </w:rPr>
  </w:style>
  <w:style w:type="character" w:customStyle="1" w:styleId="11">
    <w:name w:val="页脚 字符"/>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7</Pages>
  <Words>4191</Words>
  <Characters>4399</Characters>
  <Lines>32</Lines>
  <Paragraphs>9</Paragraphs>
  <TotalTime>110</TotalTime>
  <ScaleCrop>false</ScaleCrop>
  <LinksUpToDate>false</LinksUpToDate>
  <CharactersWithSpaces>4429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2020-09-23T13:21:00Z</dcterms:created>
  <dc:creator>陈悦</dc:creator>
  <cp:lastModifiedBy>心境</cp:lastModifiedBy>
  <cp:lastPrinted>2026-09-07T01:11:41Z</cp:lastPrinted>
  <dcterms:modified xsi:type="dcterms:W3CDTF">2026-09-07T03:00:41Z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ABB2BA762BAE599E794A9D6A10B6E1F9_43</vt:lpwstr>
  </property>
  <property fmtid="{D5CDD505-2E9C-101B-9397-08002B2CF9AE}" pid="4" name="KSOTemplateDocerSaveRecord">
    <vt:lpwstr>eyJoZGlkIjoiZWVhNjE2ZWU2MGNkYmVkYmY4ZmU2YjAyYTIxYzA1MjgiLCJ1c2VySWQiOiIzODQ4NTc4MjQifQ==</vt:lpwstr>
  </property>
</Properties>
</file>